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46" w:rsidRPr="000F117A" w:rsidRDefault="00016D46" w:rsidP="00016D46">
      <w:pPr>
        <w:spacing w:after="0" w:line="360" w:lineRule="auto"/>
        <w:rPr>
          <w:b/>
        </w:rPr>
      </w:pPr>
      <w:proofErr w:type="gramStart"/>
      <w:r w:rsidRPr="000F117A">
        <w:rPr>
          <w:b/>
        </w:rPr>
        <w:t>УДК 616.12-008.331.1+616-008.9[-0.85.272.036</w:t>
      </w:r>
      <w:proofErr w:type="gramEnd"/>
    </w:p>
    <w:p w:rsidR="006001AB" w:rsidRPr="00E71CC4" w:rsidRDefault="003E092F" w:rsidP="00E71CC4">
      <w:pPr>
        <w:spacing w:after="0" w:line="360" w:lineRule="auto"/>
        <w:rPr>
          <w:b/>
        </w:rPr>
      </w:pPr>
      <w:bookmarkStart w:id="0" w:name="_GoBack"/>
      <w:bookmarkEnd w:id="0"/>
      <w:r w:rsidRPr="00E71CC4">
        <w:rPr>
          <w:b/>
        </w:rPr>
        <w:t>РЕЗУЛЬТАТЫ КОРРЕКЦИИ ПОКАЗАТЕЛЕЙ ЛИПИДНОГО ОБМЕНА АТОРВАСТАТИНОМ</w:t>
      </w:r>
      <w:r w:rsidR="008B63CD" w:rsidRPr="00E71CC4">
        <w:rPr>
          <w:b/>
        </w:rPr>
        <w:t xml:space="preserve"> У ЛИЦ С АРТЕРИАЛЬНОЙ ГИПЕРТЕ</w:t>
      </w:r>
      <w:r w:rsidR="00E71CC4" w:rsidRPr="00E71CC4">
        <w:rPr>
          <w:b/>
        </w:rPr>
        <w:t>НЗИЕЙ И АБДОМИНАЛЬНЫМ ОЖИРЕНИЕМ</w:t>
      </w:r>
    </w:p>
    <w:p w:rsidR="00483EFD" w:rsidRPr="00E71CC4" w:rsidRDefault="00483EFD" w:rsidP="00E71CC4">
      <w:pPr>
        <w:spacing w:after="0" w:line="360" w:lineRule="auto"/>
        <w:ind w:firstLine="851"/>
        <w:jc w:val="both"/>
        <w:rPr>
          <w:b/>
        </w:rPr>
      </w:pPr>
    </w:p>
    <w:p w:rsidR="006001AB" w:rsidRPr="00E71CC4" w:rsidRDefault="0047755F" w:rsidP="003D29FB">
      <w:pPr>
        <w:spacing w:after="0" w:line="360" w:lineRule="auto"/>
        <w:ind w:firstLine="708"/>
        <w:jc w:val="both"/>
        <w:rPr>
          <w:i/>
        </w:rPr>
      </w:pPr>
      <w:r w:rsidRPr="00E71CC4">
        <w:rPr>
          <w:i/>
        </w:rPr>
        <w:t>Гончар К.В</w:t>
      </w:r>
      <w:r w:rsidR="00F8384F" w:rsidRPr="00E71CC4">
        <w:rPr>
          <w:i/>
        </w:rPr>
        <w:t>.</w:t>
      </w:r>
      <w:r w:rsidRPr="00E71CC4">
        <w:rPr>
          <w:i/>
        </w:rPr>
        <w:t xml:space="preserve">, </w:t>
      </w:r>
      <w:r w:rsidR="006001AB" w:rsidRPr="00E71CC4">
        <w:rPr>
          <w:i/>
        </w:rPr>
        <w:t>Янковская Л.В</w:t>
      </w:r>
      <w:r w:rsidR="009657FD" w:rsidRPr="00E71CC4">
        <w:rPr>
          <w:i/>
        </w:rPr>
        <w:t>, Кежун Е.Н</w:t>
      </w:r>
      <w:r w:rsidR="006001AB" w:rsidRPr="00E71CC4">
        <w:rPr>
          <w:i/>
        </w:rPr>
        <w:t>.</w:t>
      </w:r>
    </w:p>
    <w:p w:rsidR="006001AB" w:rsidRPr="00E71CC4" w:rsidRDefault="006001AB" w:rsidP="003D29FB">
      <w:pPr>
        <w:spacing w:line="360" w:lineRule="auto"/>
        <w:ind w:firstLine="708"/>
        <w:jc w:val="both"/>
      </w:pPr>
      <w:r w:rsidRPr="00E71CC4">
        <w:t>УО «Гродненский государственный медицинский университет»</w:t>
      </w:r>
    </w:p>
    <w:p w:rsidR="00473847" w:rsidRPr="00E71CC4" w:rsidRDefault="00473847" w:rsidP="003D29FB">
      <w:pPr>
        <w:spacing w:after="0" w:line="360" w:lineRule="auto"/>
        <w:ind w:firstLine="708"/>
        <w:jc w:val="both"/>
        <w:rPr>
          <w:b/>
        </w:rPr>
      </w:pPr>
      <w:r w:rsidRPr="00E71CC4">
        <w:rPr>
          <w:b/>
        </w:rPr>
        <w:t>Резюме</w:t>
      </w:r>
    </w:p>
    <w:p w:rsidR="00111F82" w:rsidRDefault="00473847" w:rsidP="00111F82">
      <w:pPr>
        <w:spacing w:after="0" w:line="360" w:lineRule="auto"/>
        <w:jc w:val="both"/>
      </w:pPr>
      <w:r w:rsidRPr="00E71CC4">
        <w:t>Целью настоящего исследования являлась оценка показателей липидного обмена и функции эндотелия у лиц с АГ, абдоминальным ожирением и дислипидемией на фоне комбинированной терапии с включением аторвастатина. Группу контроля составили 25 практически здоровых ли</w:t>
      </w:r>
      <w:r w:rsidR="00111F82">
        <w:t>ц, средний возраст 41,5±9,7 лет</w:t>
      </w:r>
      <w:r w:rsidRPr="00E71CC4">
        <w:t xml:space="preserve">. Группу 1 составили 22 человека, получавших </w:t>
      </w:r>
      <w:r w:rsidR="00111F82">
        <w:t>гипотензивную</w:t>
      </w:r>
      <w:r w:rsidRPr="00E71CC4">
        <w:t xml:space="preserve"> терапию в виде комбинации ингибитора АПФ с амлодипином, средний возраст 49,4±9,5 лет. Группу 2 составили 16 человек, в дополнение к аналогичной </w:t>
      </w:r>
      <w:proofErr w:type="gramStart"/>
      <w:r w:rsidR="00111F82">
        <w:t>гипотензивно</w:t>
      </w:r>
      <w:r w:rsidR="00111F82">
        <w:tab/>
      </w:r>
      <w:proofErr w:type="spellStart"/>
      <w:r w:rsidR="00111F82">
        <w:t>й</w:t>
      </w:r>
      <w:proofErr w:type="spellEnd"/>
      <w:proofErr w:type="gramEnd"/>
      <w:r w:rsidR="00E90BC8" w:rsidRPr="00E90BC8">
        <w:t xml:space="preserve"> </w:t>
      </w:r>
      <w:r w:rsidRPr="00E71CC4">
        <w:t xml:space="preserve">терапии, принимавшие </w:t>
      </w:r>
      <w:proofErr w:type="spellStart"/>
      <w:r w:rsidRPr="00E71CC4">
        <w:t>аторвастатин</w:t>
      </w:r>
      <w:proofErr w:type="spellEnd"/>
      <w:r w:rsidRPr="00E71CC4">
        <w:t xml:space="preserve"> («</w:t>
      </w:r>
      <w:proofErr w:type="spellStart"/>
      <w:r w:rsidRPr="00E71CC4">
        <w:t>Липромак-ЛФ</w:t>
      </w:r>
      <w:proofErr w:type="spellEnd"/>
      <w:r w:rsidRPr="00E71CC4">
        <w:t>», СООО «</w:t>
      </w:r>
      <w:proofErr w:type="spellStart"/>
      <w:r w:rsidRPr="00E71CC4">
        <w:t>Лек</w:t>
      </w:r>
      <w:r w:rsidR="003D03DD">
        <w:t>ф</w:t>
      </w:r>
      <w:r w:rsidRPr="00E71CC4">
        <w:t>арм</w:t>
      </w:r>
      <w:proofErr w:type="spellEnd"/>
      <w:r w:rsidRPr="00E71CC4">
        <w:t xml:space="preserve">») в дозе 20 мг в сутки, средний возраст 55,5[48;57] лет. Исходно и через 3 месяца лечения у пациентов оценивались антропометрические данные, </w:t>
      </w:r>
      <w:r w:rsidR="00527BD3" w:rsidRPr="00E71CC4">
        <w:t>показател</w:t>
      </w:r>
      <w:r w:rsidR="003D29FB">
        <w:t>и</w:t>
      </w:r>
      <w:r w:rsidR="00527BD3" w:rsidRPr="00E71CC4">
        <w:t xml:space="preserve"> липидограммы </w:t>
      </w:r>
      <w:r w:rsidR="003D29FB" w:rsidRPr="00E71CC4">
        <w:t>(ОХС, ЛПВП, ЛПНП</w:t>
      </w:r>
      <w:r w:rsidR="003D29FB">
        <w:t xml:space="preserve">, </w:t>
      </w:r>
      <w:r w:rsidR="003D29FB" w:rsidRPr="00E71CC4">
        <w:t>ТГ</w:t>
      </w:r>
      <w:r w:rsidR="003D29FB">
        <w:t>)</w:t>
      </w:r>
      <w:r w:rsidR="003D29FB" w:rsidRPr="00E71CC4">
        <w:t>.</w:t>
      </w:r>
      <w:r w:rsidR="00E90BC8" w:rsidRPr="00E90BC8">
        <w:t xml:space="preserve"> </w:t>
      </w:r>
      <w:r w:rsidR="003D29FB" w:rsidRPr="00E71CC4">
        <w:t xml:space="preserve">Эндотелийзависимую вазодилятацию (ЭЗВД) определяли </w:t>
      </w:r>
      <w:r w:rsidR="003D29FB">
        <w:t>м</w:t>
      </w:r>
      <w:r w:rsidR="003D29FB" w:rsidRPr="00E71CC4">
        <w:t xml:space="preserve">етодом реоимпедансографии </w:t>
      </w:r>
      <w:r w:rsidR="003D29FB">
        <w:t>на</w:t>
      </w:r>
      <w:r w:rsidR="003D29FB" w:rsidRPr="00E71CC4">
        <w:t xml:space="preserve"> аппаратно-программно</w:t>
      </w:r>
      <w:r w:rsidR="00E90BC8" w:rsidRPr="00E90BC8">
        <w:t>м</w:t>
      </w:r>
      <w:r w:rsidR="00E90BC8">
        <w:t xml:space="preserve"> комплексе</w:t>
      </w:r>
      <w:r w:rsidR="003D29FB" w:rsidRPr="00E71CC4">
        <w:t xml:space="preserve"> «</w:t>
      </w:r>
      <w:proofErr w:type="spellStart"/>
      <w:r w:rsidR="003D29FB" w:rsidRPr="00E71CC4">
        <w:t>Импекард-М</w:t>
      </w:r>
      <w:proofErr w:type="spellEnd"/>
      <w:r w:rsidR="003D29FB" w:rsidRPr="00E71CC4">
        <w:t xml:space="preserve">» (РБ) при проведении пробы с реактивной гиперемией. </w:t>
      </w:r>
    </w:p>
    <w:p w:rsidR="00473847" w:rsidRPr="00E71CC4" w:rsidRDefault="00243DF3" w:rsidP="00111F82">
      <w:pPr>
        <w:spacing w:after="0" w:line="360" w:lineRule="auto"/>
        <w:jc w:val="both"/>
      </w:pPr>
      <w:r>
        <w:t>Результаты: В</w:t>
      </w:r>
      <w:r w:rsidRPr="00ED5452">
        <w:t xml:space="preserve"> группе</w:t>
      </w:r>
      <w:r>
        <w:t xml:space="preserve"> 2</w:t>
      </w:r>
      <w:r w:rsidRPr="00ED5452">
        <w:t xml:space="preserve"> уровень ОХС и ЛПНП достоверно (p&lt;0,05) сн</w:t>
      </w:r>
      <w:r>
        <w:t>изился, д</w:t>
      </w:r>
      <w:r w:rsidRPr="00ED5452">
        <w:t xml:space="preserve">остижение целевых уровней липидов </w:t>
      </w:r>
      <w:r w:rsidR="00414854">
        <w:t xml:space="preserve">через три месяца терапии </w:t>
      </w:r>
      <w:proofErr w:type="spellStart"/>
      <w:r w:rsidR="00414854">
        <w:t>аторв</w:t>
      </w:r>
      <w:r w:rsidR="00414854" w:rsidRPr="00414854">
        <w:t>а</w:t>
      </w:r>
      <w:r>
        <w:t>статином</w:t>
      </w:r>
      <w:proofErr w:type="spellEnd"/>
      <w:r>
        <w:t xml:space="preserve"> («</w:t>
      </w:r>
      <w:proofErr w:type="spellStart"/>
      <w:r>
        <w:t>Липромак-ЛФ</w:t>
      </w:r>
      <w:proofErr w:type="spellEnd"/>
      <w:r>
        <w:t xml:space="preserve">») в дозе 20 мг в сутки </w:t>
      </w:r>
      <w:r w:rsidRPr="00ED5452">
        <w:t xml:space="preserve">произошло у 25% пациентов. Кроме того, в </w:t>
      </w:r>
      <w:r>
        <w:t xml:space="preserve">этой группе </w:t>
      </w:r>
      <w:r w:rsidRPr="00ED5452">
        <w:t xml:space="preserve">произошло достоверное снижение уровня мочевой кислоты и у 89% </w:t>
      </w:r>
      <w:proofErr w:type="gramStart"/>
      <w:r w:rsidRPr="00ED5452">
        <w:t>обследованных</w:t>
      </w:r>
      <w:proofErr w:type="gramEnd"/>
      <w:r w:rsidRPr="00ED5452">
        <w:t xml:space="preserve"> её уровень соответствовал референтной норме.</w:t>
      </w:r>
      <w:r w:rsidR="00E90BC8" w:rsidRPr="00E90BC8">
        <w:t xml:space="preserve"> </w:t>
      </w:r>
      <w:r w:rsidR="00111F82" w:rsidRPr="00ED5452">
        <w:rPr>
          <w:noProof/>
          <w:lang w:eastAsia="ru-RU"/>
        </w:rPr>
        <w:t>В гр</w:t>
      </w:r>
      <w:r w:rsidR="00111F82">
        <w:rPr>
          <w:noProof/>
          <w:lang w:eastAsia="ru-RU"/>
        </w:rPr>
        <w:t xml:space="preserve">уппе 2 не нарушенная </w:t>
      </w:r>
      <w:r w:rsidR="00111F82" w:rsidRPr="00ED5452">
        <w:rPr>
          <w:noProof/>
          <w:lang w:eastAsia="ru-RU"/>
        </w:rPr>
        <w:t>ЭЗВД был</w:t>
      </w:r>
      <w:r w:rsidR="00111F82">
        <w:rPr>
          <w:noProof/>
          <w:lang w:eastAsia="ru-RU"/>
        </w:rPr>
        <w:t>а только в 27% случаев (против 61% в группе 1) и чаще встречалась ДЭ 3 степени – 40% против 5% в группе 1</w:t>
      </w:r>
      <w:r w:rsidR="00111F82" w:rsidRPr="00ED5452">
        <w:rPr>
          <w:noProof/>
          <w:lang w:eastAsia="ru-RU"/>
        </w:rPr>
        <w:t>, после проведенной терапии достоверно</w:t>
      </w:r>
      <w:r w:rsidR="00E90BC8">
        <w:rPr>
          <w:noProof/>
          <w:lang w:eastAsia="ru-RU"/>
        </w:rPr>
        <w:t xml:space="preserve"> </w:t>
      </w:r>
      <w:r w:rsidR="00111F82" w:rsidRPr="00ED5452">
        <w:rPr>
          <w:noProof/>
          <w:lang w:eastAsia="ru-RU"/>
        </w:rPr>
        <w:t>(p&lt;0,05) увеличилась доля лиц с нормальной функцией эндотелия</w:t>
      </w:r>
      <w:r w:rsidR="00111F82">
        <w:rPr>
          <w:noProof/>
          <w:lang w:eastAsia="ru-RU"/>
        </w:rPr>
        <w:t xml:space="preserve"> (с 27 до 70%)</w:t>
      </w:r>
      <w:r w:rsidR="00111F82" w:rsidRPr="00ED5452">
        <w:rPr>
          <w:noProof/>
          <w:lang w:eastAsia="ru-RU"/>
        </w:rPr>
        <w:t xml:space="preserve"> и уменьшилась доля с ДЭ 3ст</w:t>
      </w:r>
      <w:r w:rsidR="00111F82">
        <w:rPr>
          <w:noProof/>
          <w:lang w:eastAsia="ru-RU"/>
        </w:rPr>
        <w:t>епени (с 40 до 10%)</w:t>
      </w:r>
      <w:r w:rsidR="00111F82" w:rsidRPr="00ED5452">
        <w:rPr>
          <w:noProof/>
          <w:lang w:eastAsia="ru-RU"/>
        </w:rPr>
        <w:t>.</w:t>
      </w:r>
      <w:r w:rsidR="00111F82">
        <w:rPr>
          <w:noProof/>
          <w:lang w:eastAsia="ru-RU"/>
        </w:rPr>
        <w:t xml:space="preserve"> Достижение целевых уровней АД в этой группе было только в 33% случаев, однако более выраженный положительный эффект терапии на ЭЗВД вероятно обусловлен плейотропным действием аторвостатина на эндотелий и улучшением липидного спектра плазмы, прежде всего путем снижения наиболее атерогенных фракций липидов.</w:t>
      </w:r>
    </w:p>
    <w:p w:rsidR="00483EFD" w:rsidRPr="00E71CC4" w:rsidRDefault="004D3657" w:rsidP="003D29FB">
      <w:pPr>
        <w:spacing w:line="360" w:lineRule="auto"/>
        <w:ind w:firstLine="708"/>
        <w:jc w:val="both"/>
      </w:pPr>
      <w:r w:rsidRPr="00E71CC4">
        <w:rPr>
          <w:b/>
        </w:rPr>
        <w:t>Ключевые слова:</w:t>
      </w:r>
      <w:r w:rsidRPr="00E71CC4">
        <w:t xml:space="preserve"> артериальная гипертензия, абдоминальное ожирение, дислипидемия</w:t>
      </w:r>
    </w:p>
    <w:p w:rsidR="00414854" w:rsidRPr="00414854" w:rsidRDefault="00414854" w:rsidP="003D29FB">
      <w:pPr>
        <w:spacing w:after="0" w:line="360" w:lineRule="auto"/>
        <w:ind w:firstLine="708"/>
        <w:jc w:val="both"/>
        <w:rPr>
          <w:lang w:val="en-US"/>
        </w:rPr>
      </w:pPr>
      <w:r w:rsidRPr="00180E87">
        <w:rPr>
          <w:rStyle w:val="hps"/>
          <w:color w:val="222222"/>
          <w:lang w:val="en-US"/>
        </w:rPr>
        <w:lastRenderedPageBreak/>
        <w:t>RESULTS</w:t>
      </w:r>
      <w:r w:rsidRPr="00180E87">
        <w:rPr>
          <w:color w:val="222222"/>
          <w:lang w:val="en-US"/>
        </w:rPr>
        <w:t xml:space="preserve"> OF </w:t>
      </w:r>
      <w:r w:rsidRPr="00180E87">
        <w:rPr>
          <w:rStyle w:val="hps"/>
          <w:color w:val="222222"/>
          <w:lang w:val="en-US"/>
        </w:rPr>
        <w:t>CORRECTION</w:t>
      </w:r>
      <w:r w:rsidRPr="00180E87">
        <w:rPr>
          <w:color w:val="222222"/>
          <w:lang w:val="en-US"/>
        </w:rPr>
        <w:t xml:space="preserve"> OF </w:t>
      </w:r>
      <w:r w:rsidRPr="00180E87">
        <w:rPr>
          <w:rStyle w:val="hps"/>
          <w:color w:val="222222"/>
          <w:lang w:val="en-US"/>
        </w:rPr>
        <w:t>LIPID METABOLISM</w:t>
      </w:r>
      <w:r w:rsidRPr="00180E87">
        <w:rPr>
          <w:color w:val="222222"/>
          <w:lang w:val="en-US"/>
        </w:rPr>
        <w:t xml:space="preserve"> WITH</w:t>
      </w:r>
      <w:r w:rsidRPr="00180E87">
        <w:rPr>
          <w:rStyle w:val="hps"/>
          <w:color w:val="222222"/>
          <w:lang w:val="en-US"/>
        </w:rPr>
        <w:t xml:space="preserve"> ATORVASTATIN IN</w:t>
      </w:r>
      <w:r w:rsidRPr="00180E87">
        <w:rPr>
          <w:color w:val="222222"/>
          <w:lang w:val="en-US"/>
        </w:rPr>
        <w:t xml:space="preserve"> </w:t>
      </w:r>
      <w:r w:rsidRPr="00180E87">
        <w:rPr>
          <w:rStyle w:val="hps"/>
          <w:color w:val="222222"/>
          <w:lang w:val="en-US"/>
        </w:rPr>
        <w:t>PATIENTS WITH ARTERIAL</w:t>
      </w:r>
      <w:r w:rsidRPr="00180E87">
        <w:rPr>
          <w:color w:val="222222"/>
          <w:lang w:val="en-US"/>
        </w:rPr>
        <w:t xml:space="preserve"> </w:t>
      </w:r>
      <w:r w:rsidRPr="00180E87">
        <w:rPr>
          <w:rStyle w:val="hps"/>
          <w:color w:val="222222"/>
          <w:lang w:val="en-US"/>
        </w:rPr>
        <w:t>HYPERTENSION AND</w:t>
      </w:r>
      <w:r w:rsidRPr="00180E87">
        <w:rPr>
          <w:color w:val="222222"/>
          <w:lang w:val="en-US"/>
        </w:rPr>
        <w:t xml:space="preserve"> </w:t>
      </w:r>
      <w:r w:rsidRPr="00180E87">
        <w:rPr>
          <w:rStyle w:val="hps"/>
          <w:color w:val="222222"/>
          <w:lang w:val="en-US"/>
        </w:rPr>
        <w:t>ABDOMINAL OBESITY</w:t>
      </w:r>
    </w:p>
    <w:p w:rsidR="00E71CC4" w:rsidRPr="00376F19" w:rsidRDefault="00376F19" w:rsidP="003D29FB">
      <w:pPr>
        <w:spacing w:after="0" w:line="360" w:lineRule="auto"/>
        <w:ind w:firstLine="708"/>
        <w:jc w:val="both"/>
        <w:rPr>
          <w:i/>
          <w:lang w:val="en-US"/>
        </w:rPr>
      </w:pPr>
      <w:proofErr w:type="spellStart"/>
      <w:r>
        <w:rPr>
          <w:i/>
          <w:lang w:val="en-US"/>
        </w:rPr>
        <w:t>Hanchar</w:t>
      </w:r>
      <w:proofErr w:type="spellEnd"/>
      <w:r>
        <w:rPr>
          <w:i/>
          <w:lang w:val="en-US"/>
        </w:rPr>
        <w:t xml:space="preserve"> </w:t>
      </w:r>
      <w:proofErr w:type="spellStart"/>
      <w:r>
        <w:rPr>
          <w:i/>
          <w:lang w:val="en-US"/>
        </w:rPr>
        <w:t>K.V.</w:t>
      </w:r>
      <w:proofErr w:type="gramStart"/>
      <w:r>
        <w:rPr>
          <w:i/>
          <w:lang w:val="en-US"/>
        </w:rPr>
        <w:t>,</w:t>
      </w:r>
      <w:r w:rsidR="00E71CC4" w:rsidRPr="00376F19">
        <w:rPr>
          <w:i/>
          <w:lang w:val="en-US"/>
        </w:rPr>
        <w:t>Yankouskaya</w:t>
      </w:r>
      <w:proofErr w:type="spellEnd"/>
      <w:proofErr w:type="gramEnd"/>
      <w:r w:rsidR="00E71CC4" w:rsidRPr="00376F19">
        <w:rPr>
          <w:i/>
          <w:lang w:val="en-US"/>
        </w:rPr>
        <w:t xml:space="preserve"> </w:t>
      </w:r>
      <w:proofErr w:type="spellStart"/>
      <w:r w:rsidR="00E71CC4" w:rsidRPr="00376F19">
        <w:rPr>
          <w:i/>
          <w:lang w:val="en-US"/>
        </w:rPr>
        <w:t>L.V.,</w:t>
      </w:r>
      <w:r>
        <w:rPr>
          <w:i/>
          <w:lang w:val="en-US"/>
        </w:rPr>
        <w:t>Kezhun</w:t>
      </w:r>
      <w:proofErr w:type="spellEnd"/>
      <w:r>
        <w:rPr>
          <w:i/>
          <w:lang w:val="en-US"/>
        </w:rPr>
        <w:t xml:space="preserve"> E.N.</w:t>
      </w:r>
      <w:r w:rsidR="00E71CC4" w:rsidRPr="00376F19">
        <w:rPr>
          <w:i/>
          <w:lang w:val="en-US"/>
        </w:rPr>
        <w:t xml:space="preserve"> </w:t>
      </w:r>
    </w:p>
    <w:p w:rsidR="00E71CC4" w:rsidRPr="00180E87" w:rsidRDefault="00E71CC4" w:rsidP="003D29FB">
      <w:pPr>
        <w:spacing w:after="0" w:line="360" w:lineRule="auto"/>
        <w:ind w:firstLine="708"/>
        <w:jc w:val="both"/>
      </w:pPr>
      <w:r w:rsidRPr="00E71CC4">
        <w:rPr>
          <w:lang w:val="en-US"/>
        </w:rPr>
        <w:t>Grodno State Medical University</w:t>
      </w:r>
    </w:p>
    <w:p w:rsidR="007638E6" w:rsidRPr="00376F19" w:rsidRDefault="00E71CC4" w:rsidP="007638E6">
      <w:pPr>
        <w:spacing w:after="0" w:line="360" w:lineRule="auto"/>
        <w:ind w:firstLine="708"/>
        <w:jc w:val="both"/>
        <w:rPr>
          <w:lang w:val="en-US"/>
        </w:rPr>
      </w:pPr>
      <w:r w:rsidRPr="00E71CC4">
        <w:rPr>
          <w:b/>
          <w:lang w:val="en-US"/>
        </w:rPr>
        <w:t>Resume</w:t>
      </w:r>
      <w:r w:rsidR="005E64DB">
        <w:rPr>
          <w:b/>
          <w:lang w:val="en-US"/>
        </w:rPr>
        <w:t xml:space="preserve">: </w:t>
      </w:r>
      <w:r w:rsidR="007638E6" w:rsidRPr="00376F19">
        <w:rPr>
          <w:lang w:val="en-US"/>
        </w:rPr>
        <w:t>The purpose of this study was to evaluate lipid metabolism and endothelial functio</w:t>
      </w:r>
      <w:r w:rsidR="00376F19">
        <w:rPr>
          <w:lang w:val="en-US"/>
        </w:rPr>
        <w:t>n in patients with hypertension</w:t>
      </w:r>
      <w:r w:rsidR="007638E6" w:rsidRPr="00376F19">
        <w:rPr>
          <w:lang w:val="en-US"/>
        </w:rPr>
        <w:t xml:space="preserve">, abdominal obesity and dyslipidemia </w:t>
      </w:r>
      <w:r w:rsidR="00D776B4">
        <w:rPr>
          <w:lang w:val="en-US"/>
        </w:rPr>
        <w:t>with</w:t>
      </w:r>
      <w:r w:rsidR="007638E6" w:rsidRPr="00376F19">
        <w:rPr>
          <w:lang w:val="en-US"/>
        </w:rPr>
        <w:t xml:space="preserve"> the com</w:t>
      </w:r>
      <w:r w:rsidR="00376F19">
        <w:rPr>
          <w:lang w:val="en-US"/>
        </w:rPr>
        <w:t xml:space="preserve">bined therapy </w:t>
      </w:r>
      <w:r w:rsidR="00D776B4">
        <w:rPr>
          <w:lang w:val="en-US"/>
        </w:rPr>
        <w:t>including</w:t>
      </w:r>
      <w:r w:rsidR="00376F19">
        <w:rPr>
          <w:lang w:val="en-US"/>
        </w:rPr>
        <w:t xml:space="preserve"> atorvastatin</w:t>
      </w:r>
      <w:r w:rsidR="007638E6" w:rsidRPr="00376F19">
        <w:rPr>
          <w:lang w:val="en-US"/>
        </w:rPr>
        <w:t xml:space="preserve">. The control group consisted of 25 healthy </w:t>
      </w:r>
      <w:r w:rsidR="00376F19">
        <w:rPr>
          <w:lang w:val="en-US"/>
        </w:rPr>
        <w:t>subjects</w:t>
      </w:r>
      <w:r w:rsidR="007638E6" w:rsidRPr="00376F19">
        <w:rPr>
          <w:lang w:val="en-US"/>
        </w:rPr>
        <w:t>, mea</w:t>
      </w:r>
      <w:r w:rsidR="00D776B4">
        <w:rPr>
          <w:lang w:val="en-US"/>
        </w:rPr>
        <w:t>n age 41</w:t>
      </w:r>
      <w:proofErr w:type="gramStart"/>
      <w:r w:rsidR="00D776B4">
        <w:rPr>
          <w:lang w:val="en-US"/>
        </w:rPr>
        <w:t>,5</w:t>
      </w:r>
      <w:proofErr w:type="gramEnd"/>
      <w:r w:rsidR="007638E6" w:rsidRPr="00376F19">
        <w:rPr>
          <w:lang w:val="en-US"/>
        </w:rPr>
        <w:t xml:space="preserve">±9,7 years. Group 1 </w:t>
      </w:r>
      <w:r w:rsidR="00D776B4" w:rsidRPr="00376F19">
        <w:rPr>
          <w:lang w:val="en-US"/>
        </w:rPr>
        <w:t xml:space="preserve">consisted of </w:t>
      </w:r>
      <w:r w:rsidR="007638E6" w:rsidRPr="00376F19">
        <w:rPr>
          <w:lang w:val="en-US"/>
        </w:rPr>
        <w:t>22 persons receiving antihypertensive therapy as a combination of a</w:t>
      </w:r>
      <w:r w:rsidR="00376F19">
        <w:rPr>
          <w:lang w:val="en-US"/>
        </w:rPr>
        <w:t>n ACE inhibitor with amlodipine</w:t>
      </w:r>
      <w:r w:rsidR="007638E6" w:rsidRPr="00376F19">
        <w:rPr>
          <w:lang w:val="en-US"/>
        </w:rPr>
        <w:t>, average age 49</w:t>
      </w:r>
      <w:proofErr w:type="gramStart"/>
      <w:r w:rsidR="007638E6" w:rsidRPr="00376F19">
        <w:rPr>
          <w:lang w:val="en-US"/>
        </w:rPr>
        <w:t>,4</w:t>
      </w:r>
      <w:proofErr w:type="gramEnd"/>
      <w:r w:rsidR="007638E6" w:rsidRPr="00376F19">
        <w:rPr>
          <w:lang w:val="en-US"/>
        </w:rPr>
        <w:t xml:space="preserve"> ± 9,5 years. Group 2 consisted of 16 people , in addition to a similar hypotensive therapy minut</w:t>
      </w:r>
      <w:r w:rsidR="00376F19">
        <w:rPr>
          <w:lang w:val="en-US"/>
        </w:rPr>
        <w:t xml:space="preserve">es, taking </w:t>
      </w:r>
      <w:proofErr w:type="spellStart"/>
      <w:r w:rsidR="00376F19">
        <w:rPr>
          <w:lang w:val="en-US"/>
        </w:rPr>
        <w:t>atorvastatin</w:t>
      </w:r>
      <w:proofErr w:type="spellEnd"/>
      <w:r w:rsidR="00376F19">
        <w:rPr>
          <w:lang w:val="en-US"/>
        </w:rPr>
        <w:t xml:space="preserve"> ("</w:t>
      </w:r>
      <w:proofErr w:type="spellStart"/>
      <w:r w:rsidR="00376F19">
        <w:rPr>
          <w:lang w:val="en-US"/>
        </w:rPr>
        <w:t>Lipromak</w:t>
      </w:r>
      <w:proofErr w:type="spellEnd"/>
      <w:r w:rsidR="007638E6" w:rsidRPr="00376F19">
        <w:rPr>
          <w:lang w:val="en-US"/>
        </w:rPr>
        <w:t>-</w:t>
      </w:r>
      <w:r w:rsidR="00376F19">
        <w:rPr>
          <w:lang w:val="en-US"/>
        </w:rPr>
        <w:t>LF"</w:t>
      </w:r>
      <w:r w:rsidR="00D776B4">
        <w:rPr>
          <w:lang w:val="en-US"/>
        </w:rPr>
        <w:t>,</w:t>
      </w:r>
      <w:r w:rsidR="00376F19">
        <w:rPr>
          <w:lang w:val="en-US"/>
        </w:rPr>
        <w:t xml:space="preserve"> JV "</w:t>
      </w:r>
      <w:r w:rsidR="007638E6" w:rsidRPr="00376F19">
        <w:rPr>
          <w:lang w:val="en-US"/>
        </w:rPr>
        <w:t>LEKPHAR</w:t>
      </w:r>
      <w:r w:rsidR="00376F19">
        <w:rPr>
          <w:lang w:val="en-US"/>
        </w:rPr>
        <w:t>M</w:t>
      </w:r>
      <w:r w:rsidR="007638E6" w:rsidRPr="00376F19">
        <w:rPr>
          <w:lang w:val="en-US"/>
        </w:rPr>
        <w:t xml:space="preserve">") at a dose of 20 mg </w:t>
      </w:r>
      <w:r w:rsidR="00376F19">
        <w:rPr>
          <w:lang w:val="en-US"/>
        </w:rPr>
        <w:t>per day , the average age of 55,</w:t>
      </w:r>
      <w:r w:rsidR="007638E6" w:rsidRPr="00376F19">
        <w:rPr>
          <w:lang w:val="en-US"/>
        </w:rPr>
        <w:t xml:space="preserve">5 [48,57] years. At baseline and after 3 months of treatment, patients were evaluated anthropometric data, lipid profile (total </w:t>
      </w:r>
      <w:proofErr w:type="gramStart"/>
      <w:r w:rsidR="007638E6" w:rsidRPr="00376F19">
        <w:rPr>
          <w:lang w:val="en-US"/>
        </w:rPr>
        <w:t>cholesterol ,</w:t>
      </w:r>
      <w:proofErr w:type="gramEnd"/>
      <w:r w:rsidR="007638E6" w:rsidRPr="00376F19">
        <w:rPr>
          <w:lang w:val="en-US"/>
        </w:rPr>
        <w:t xml:space="preserve"> HDL, LDL , triglycerides ) . Endothelium-dependent vasodilation (EDVD) wa</w:t>
      </w:r>
      <w:r w:rsidR="00376F19">
        <w:rPr>
          <w:lang w:val="en-US"/>
        </w:rPr>
        <w:t xml:space="preserve">s determined by </w:t>
      </w:r>
      <w:proofErr w:type="spellStart"/>
      <w:r w:rsidR="00376F19">
        <w:rPr>
          <w:lang w:val="en-US"/>
        </w:rPr>
        <w:t>reoimpedansography</w:t>
      </w:r>
      <w:proofErr w:type="spellEnd"/>
      <w:r w:rsidR="007638E6" w:rsidRPr="00376F19">
        <w:rPr>
          <w:lang w:val="en-US"/>
        </w:rPr>
        <w:t xml:space="preserve"> on the hardware-software complex "</w:t>
      </w:r>
      <w:proofErr w:type="spellStart"/>
      <w:r w:rsidR="007638E6" w:rsidRPr="00376F19">
        <w:rPr>
          <w:lang w:val="en-US"/>
        </w:rPr>
        <w:t>Impekard</w:t>
      </w:r>
      <w:proofErr w:type="spellEnd"/>
      <w:r w:rsidR="007638E6" w:rsidRPr="00376F19">
        <w:rPr>
          <w:lang w:val="en-US"/>
        </w:rPr>
        <w:t>-M"</w:t>
      </w:r>
      <w:r w:rsidR="00180E87">
        <w:rPr>
          <w:lang w:val="en-US"/>
        </w:rPr>
        <w:t xml:space="preserve"> (RB) during reactive hyperemia</w:t>
      </w:r>
      <w:r w:rsidR="007638E6" w:rsidRPr="00376F19">
        <w:rPr>
          <w:lang w:val="en-US"/>
        </w:rPr>
        <w:t>.</w:t>
      </w:r>
    </w:p>
    <w:p w:rsidR="00E71CC4" w:rsidRPr="00376F19" w:rsidRDefault="007638E6" w:rsidP="007638E6">
      <w:pPr>
        <w:spacing w:after="0" w:line="360" w:lineRule="auto"/>
        <w:ind w:firstLine="708"/>
        <w:jc w:val="both"/>
        <w:rPr>
          <w:lang w:val="en-US"/>
        </w:rPr>
      </w:pPr>
      <w:r w:rsidRPr="00376F19">
        <w:rPr>
          <w:lang w:val="en-US"/>
        </w:rPr>
        <w:t xml:space="preserve">Results: In group 2, the level of total cholesterol and LDL cholesterol was significantly (p&lt;0,05) decreased , achieving target lipid levels after three months of therapy </w:t>
      </w:r>
      <w:r w:rsidR="00376F19">
        <w:rPr>
          <w:lang w:val="en-US"/>
        </w:rPr>
        <w:t xml:space="preserve">with </w:t>
      </w:r>
      <w:proofErr w:type="spellStart"/>
      <w:r w:rsidRPr="00376F19">
        <w:rPr>
          <w:lang w:val="en-US"/>
        </w:rPr>
        <w:t>atorv</w:t>
      </w:r>
      <w:r w:rsidR="00376F19">
        <w:rPr>
          <w:lang w:val="en-US"/>
        </w:rPr>
        <w:t>a</w:t>
      </w:r>
      <w:r w:rsidRPr="00376F19">
        <w:rPr>
          <w:lang w:val="en-US"/>
        </w:rPr>
        <w:t>statin</w:t>
      </w:r>
      <w:proofErr w:type="spellEnd"/>
      <w:r w:rsidRPr="00376F19">
        <w:rPr>
          <w:lang w:val="en-US"/>
        </w:rPr>
        <w:t xml:space="preserve"> ("</w:t>
      </w:r>
      <w:proofErr w:type="spellStart"/>
      <w:r w:rsidR="00376F19">
        <w:rPr>
          <w:lang w:val="en-US"/>
        </w:rPr>
        <w:t>Lipromak</w:t>
      </w:r>
      <w:proofErr w:type="spellEnd"/>
      <w:r w:rsidRPr="00376F19">
        <w:rPr>
          <w:lang w:val="en-US"/>
        </w:rPr>
        <w:t>-LF") at a dose of 20 mg per day was 25% of patients. In addition, this group had significantly reduced levels of uric acid and 89% of the surveyed its level corresponded to the reference rate. In group 2 was not impaired EDVD only in 27</w:t>
      </w:r>
      <w:r w:rsidR="00180E87">
        <w:rPr>
          <w:lang w:val="en-US"/>
        </w:rPr>
        <w:t>% of cases (compared to 61</w:t>
      </w:r>
      <w:r w:rsidRPr="00376F19">
        <w:rPr>
          <w:lang w:val="en-US"/>
        </w:rPr>
        <w:t xml:space="preserve">% in group 1) and more frequent grade 3 </w:t>
      </w:r>
      <w:r w:rsidR="00180E87">
        <w:rPr>
          <w:lang w:val="en-US"/>
        </w:rPr>
        <w:t>endothelial dysfunction - 40% versus 5</w:t>
      </w:r>
      <w:r w:rsidRPr="00376F19">
        <w:rPr>
          <w:lang w:val="en-US"/>
        </w:rPr>
        <w:t>% in group 1, after the treatment was significantly (p&lt;0</w:t>
      </w:r>
      <w:proofErr w:type="gramStart"/>
      <w:r w:rsidRPr="00376F19">
        <w:rPr>
          <w:lang w:val="en-US"/>
        </w:rPr>
        <w:t>,05</w:t>
      </w:r>
      <w:proofErr w:type="gramEnd"/>
      <w:r w:rsidRPr="00376F19">
        <w:rPr>
          <w:lang w:val="en-US"/>
        </w:rPr>
        <w:t xml:space="preserve">) increased the proportion of people with normal endothelial function (from 27 to 70%) and decreased the proportion of </w:t>
      </w:r>
      <w:r w:rsidR="00180E87">
        <w:rPr>
          <w:lang w:val="en-US"/>
        </w:rPr>
        <w:t xml:space="preserve">endothelial dysfunction </w:t>
      </w:r>
      <w:r w:rsidRPr="00376F19">
        <w:rPr>
          <w:lang w:val="en-US"/>
        </w:rPr>
        <w:t>with 3 degrees (from 40 to 10%). Achieving target BP levels in th</w:t>
      </w:r>
      <w:r w:rsidR="00180E87">
        <w:rPr>
          <w:lang w:val="en-US"/>
        </w:rPr>
        <w:t>is group was only 33</w:t>
      </w:r>
      <w:r w:rsidR="00E90BC8">
        <w:rPr>
          <w:lang w:val="en-US"/>
        </w:rPr>
        <w:t>% of cases</w:t>
      </w:r>
      <w:r w:rsidRPr="00376F19">
        <w:rPr>
          <w:lang w:val="en-US"/>
        </w:rPr>
        <w:t>, but a more pronounced positive effect of the</w:t>
      </w:r>
      <w:r w:rsidR="009042A1">
        <w:rPr>
          <w:lang w:val="en-US"/>
        </w:rPr>
        <w:t>rapy on EDVD probably due atorva</w:t>
      </w:r>
      <w:r w:rsidRPr="00376F19">
        <w:rPr>
          <w:lang w:val="en-US"/>
        </w:rPr>
        <w:t>statin pleiotropic effects on the endothelium and improved plasma lipid profile, primarily by reducing the m</w:t>
      </w:r>
      <w:r w:rsidR="009042A1">
        <w:rPr>
          <w:lang w:val="en-US"/>
        </w:rPr>
        <w:t xml:space="preserve">ost </w:t>
      </w:r>
      <w:proofErr w:type="spellStart"/>
      <w:r w:rsidR="009042A1">
        <w:rPr>
          <w:lang w:val="en-US"/>
        </w:rPr>
        <w:t>atherogenic</w:t>
      </w:r>
      <w:proofErr w:type="spellEnd"/>
      <w:r w:rsidR="009042A1">
        <w:rPr>
          <w:lang w:val="en-US"/>
        </w:rPr>
        <w:t xml:space="preserve"> lipid fractions</w:t>
      </w:r>
      <w:r w:rsidRPr="00376F19">
        <w:rPr>
          <w:lang w:val="en-US"/>
        </w:rPr>
        <w:t>.</w:t>
      </w:r>
    </w:p>
    <w:p w:rsidR="00E71CC4" w:rsidRPr="00E71CC4" w:rsidRDefault="00E71CC4" w:rsidP="003D29FB">
      <w:pPr>
        <w:spacing w:line="360" w:lineRule="auto"/>
        <w:ind w:firstLine="708"/>
        <w:jc w:val="both"/>
        <w:rPr>
          <w:lang w:val="en-US"/>
        </w:rPr>
      </w:pPr>
      <w:r w:rsidRPr="00E71CC4">
        <w:rPr>
          <w:b/>
          <w:lang w:val="en-US"/>
        </w:rPr>
        <w:t>Key words:</w:t>
      </w:r>
      <w:r w:rsidRPr="00E71CC4">
        <w:rPr>
          <w:lang w:val="en-US"/>
        </w:rPr>
        <w:t xml:space="preserve"> arterial hypertension,</w:t>
      </w:r>
      <w:r w:rsidR="005E64DB">
        <w:rPr>
          <w:lang w:val="en-US"/>
        </w:rPr>
        <w:t xml:space="preserve"> abdominal obesity, dyslipidemia</w:t>
      </w:r>
    </w:p>
    <w:p w:rsidR="00AB6D89" w:rsidRPr="00E71CC4" w:rsidRDefault="001937B7" w:rsidP="003D29FB">
      <w:pPr>
        <w:spacing w:after="0" w:line="360" w:lineRule="auto"/>
        <w:ind w:firstLine="708"/>
        <w:jc w:val="both"/>
      </w:pPr>
      <w:r w:rsidRPr="00E71CC4">
        <w:t>В</w:t>
      </w:r>
      <w:r w:rsidR="00E90BC8" w:rsidRPr="00E90BC8">
        <w:t xml:space="preserve"> </w:t>
      </w:r>
      <w:r w:rsidRPr="00E71CC4">
        <w:t>Республике</w:t>
      </w:r>
      <w:r w:rsidR="00E90BC8" w:rsidRPr="00E90BC8">
        <w:t xml:space="preserve"> </w:t>
      </w:r>
      <w:r w:rsidRPr="00E71CC4">
        <w:t>Беларусь</w:t>
      </w:r>
      <w:r w:rsidR="00E90BC8" w:rsidRPr="00E90BC8">
        <w:t xml:space="preserve"> </w:t>
      </w:r>
      <w:r w:rsidRPr="00E71CC4">
        <w:t>на</w:t>
      </w:r>
      <w:r w:rsidR="00E90BC8" w:rsidRPr="00E90BC8">
        <w:t xml:space="preserve"> </w:t>
      </w:r>
      <w:r w:rsidRPr="00E71CC4">
        <w:t>начало</w:t>
      </w:r>
      <w:r w:rsidRPr="007638E6">
        <w:t xml:space="preserve"> 2010</w:t>
      </w:r>
      <w:r w:rsidRPr="00E71CC4">
        <w:t>г</w:t>
      </w:r>
      <w:r w:rsidRPr="007638E6">
        <w:t xml:space="preserve">. </w:t>
      </w:r>
      <w:r w:rsidRPr="00E71CC4">
        <w:t>выявлено</w:t>
      </w:r>
      <w:r w:rsidR="00E90BC8" w:rsidRPr="00E90BC8">
        <w:t xml:space="preserve"> </w:t>
      </w:r>
      <w:r w:rsidRPr="00E71CC4">
        <w:t>и</w:t>
      </w:r>
      <w:r w:rsidR="00E90BC8" w:rsidRPr="00E90BC8">
        <w:t xml:space="preserve"> </w:t>
      </w:r>
      <w:r w:rsidRPr="00E71CC4">
        <w:t>учтено</w:t>
      </w:r>
      <w:r w:rsidRPr="007638E6">
        <w:t xml:space="preserve"> 1 539 470 </w:t>
      </w:r>
      <w:r w:rsidRPr="00E71CC4">
        <w:t>лиц</w:t>
      </w:r>
      <w:r w:rsidR="00E90BC8" w:rsidRPr="00E90BC8">
        <w:t xml:space="preserve"> </w:t>
      </w:r>
      <w:r w:rsidRPr="00E71CC4">
        <w:t>с</w:t>
      </w:r>
      <w:r w:rsidR="00E90BC8" w:rsidRPr="00E90BC8">
        <w:t xml:space="preserve"> </w:t>
      </w:r>
      <w:r w:rsidRPr="00E71CC4">
        <w:t>артериальной</w:t>
      </w:r>
      <w:r w:rsidR="00E90BC8" w:rsidRPr="00E90BC8">
        <w:t xml:space="preserve"> </w:t>
      </w:r>
      <w:r w:rsidRPr="00E71CC4">
        <w:t>гипертензией</w:t>
      </w:r>
      <w:r w:rsidRPr="007638E6">
        <w:t xml:space="preserve"> (</w:t>
      </w:r>
      <w:r w:rsidRPr="00E71CC4">
        <w:t>АГ</w:t>
      </w:r>
      <w:r w:rsidRPr="007638E6">
        <w:t>)</w:t>
      </w:r>
      <w:r w:rsidR="00E90BC8" w:rsidRPr="00E90BC8">
        <w:t xml:space="preserve"> </w:t>
      </w:r>
      <w:r w:rsidR="00253A02" w:rsidRPr="007638E6">
        <w:t>[</w:t>
      </w:r>
      <w:r w:rsidR="00A500FD" w:rsidRPr="007638E6">
        <w:t>1</w:t>
      </w:r>
      <w:r w:rsidR="00253A02" w:rsidRPr="007638E6">
        <w:t>]</w:t>
      </w:r>
      <w:r w:rsidRPr="007638E6">
        <w:t>.</w:t>
      </w:r>
      <w:r w:rsidR="00E90BC8" w:rsidRPr="00E90BC8">
        <w:t xml:space="preserve"> </w:t>
      </w:r>
      <w:r w:rsidR="00AB6D89" w:rsidRPr="00E71CC4">
        <w:t>Оценка и коррекция основных факторов риска (</w:t>
      </w:r>
      <w:proofErr w:type="gramStart"/>
      <w:r w:rsidR="00AB6D89" w:rsidRPr="00E71CC4">
        <w:t>ФР</w:t>
      </w:r>
      <w:proofErr w:type="gramEnd"/>
      <w:r w:rsidR="00AB6D89" w:rsidRPr="00E71CC4">
        <w:t>): низкой физической активности, ожирения, липидных нарушений, курения - лежит в основе профилактики сердечно-сосудистых заболеваний (ССЗ) и их осложнений. Повышенные уровни атерогенных липидов и липопротеинов (Л</w:t>
      </w:r>
      <w:r w:rsidR="00664701" w:rsidRPr="00E71CC4">
        <w:t>П</w:t>
      </w:r>
      <w:r w:rsidR="00AB6D89" w:rsidRPr="00E71CC4">
        <w:t xml:space="preserve">НП, ТГ) и низкий уровень </w:t>
      </w:r>
      <w:r w:rsidR="00664701" w:rsidRPr="00E71CC4">
        <w:t xml:space="preserve">холестерина </w:t>
      </w:r>
      <w:r w:rsidR="00AB6D89" w:rsidRPr="00E71CC4">
        <w:t>Л</w:t>
      </w:r>
      <w:r w:rsidR="00664701" w:rsidRPr="00E71CC4">
        <w:t>П</w:t>
      </w:r>
      <w:r w:rsidR="00AB6D89" w:rsidRPr="00E71CC4">
        <w:t xml:space="preserve">ВП в плазме крови являются одними из важнейших </w:t>
      </w:r>
      <w:proofErr w:type="gramStart"/>
      <w:r w:rsidR="00AB6D89" w:rsidRPr="00E71CC4">
        <w:t>ФР</w:t>
      </w:r>
      <w:proofErr w:type="gramEnd"/>
      <w:r w:rsidR="00AB6D89" w:rsidRPr="00E71CC4">
        <w:t xml:space="preserve"> развития атеросклероза и связанных с ним осложнений. </w:t>
      </w:r>
      <w:r w:rsidRPr="00E71CC4">
        <w:t>По данным литературы</w:t>
      </w:r>
      <w:r w:rsidR="00E90BC8">
        <w:t xml:space="preserve"> </w:t>
      </w:r>
      <w:r w:rsidR="00253A02" w:rsidRPr="00E71CC4">
        <w:t>[</w:t>
      </w:r>
      <w:r w:rsidR="00A500FD" w:rsidRPr="00E71CC4">
        <w:t>2</w:t>
      </w:r>
      <w:r w:rsidR="00253A02" w:rsidRPr="00E71CC4">
        <w:t>]</w:t>
      </w:r>
      <w:r w:rsidR="00E90BC8">
        <w:t xml:space="preserve"> </w:t>
      </w:r>
      <w:r w:rsidRPr="00E71CC4">
        <w:t xml:space="preserve">до 40% лиц с эссенциальной АГ </w:t>
      </w:r>
      <w:r w:rsidRPr="00E71CC4">
        <w:lastRenderedPageBreak/>
        <w:t>имеют дислипидемию</w:t>
      </w:r>
      <w:r w:rsidR="00AB6D89" w:rsidRPr="00E71CC4">
        <w:t>.</w:t>
      </w:r>
      <w:r w:rsidRPr="00E71CC4">
        <w:t xml:space="preserve"> Известно, что каждый лишний сантиметр талии увеличивает риск </w:t>
      </w:r>
      <w:r w:rsidR="00A9517D" w:rsidRPr="00E71CC4">
        <w:t>развития ССЗ</w:t>
      </w:r>
      <w:r w:rsidRPr="00E71CC4">
        <w:t xml:space="preserve"> на 2%</w:t>
      </w:r>
      <w:r w:rsidR="00E90BC8">
        <w:t xml:space="preserve"> </w:t>
      </w:r>
      <w:r w:rsidR="00253A02" w:rsidRPr="00E71CC4">
        <w:t>[</w:t>
      </w:r>
      <w:r w:rsidR="00A500FD" w:rsidRPr="00E71CC4">
        <w:t>3</w:t>
      </w:r>
      <w:r w:rsidR="00253A02" w:rsidRPr="00E71CC4">
        <w:t>]</w:t>
      </w:r>
      <w:r w:rsidRPr="00E71CC4">
        <w:t>.</w:t>
      </w:r>
      <w:r w:rsidR="00E90BC8">
        <w:t xml:space="preserve"> </w:t>
      </w:r>
      <w:r w:rsidR="00AB6D89" w:rsidRPr="00E71CC4">
        <w:t xml:space="preserve">Без коррекции </w:t>
      </w:r>
      <w:proofErr w:type="gramStart"/>
      <w:r w:rsidR="00AB6D89" w:rsidRPr="00E71CC4">
        <w:t>ФР</w:t>
      </w:r>
      <w:proofErr w:type="gramEnd"/>
      <w:r w:rsidR="00AB6D89" w:rsidRPr="00E71CC4">
        <w:t xml:space="preserve"> сохраняется тенденция неуклонного прогрессирования заболевания. По данным европейского исследования EUROASPIRE, в котором ведется наблюдение за динамикой </w:t>
      </w:r>
      <w:proofErr w:type="gramStart"/>
      <w:r w:rsidR="00AB6D89" w:rsidRPr="00E71CC4">
        <w:t>ФР</w:t>
      </w:r>
      <w:proofErr w:type="gramEnd"/>
      <w:r w:rsidR="00AB6D89" w:rsidRPr="00E71CC4">
        <w:t xml:space="preserve"> и ССЗ, назначение статинов </w:t>
      </w:r>
      <w:r w:rsidR="00D64254" w:rsidRPr="00E71CC4">
        <w:t xml:space="preserve">в Европе </w:t>
      </w:r>
      <w:r w:rsidR="00AB6D89" w:rsidRPr="00E71CC4">
        <w:t>за последнее десятилетие возросло с 32,2 % до 88,8 %. Одна</w:t>
      </w:r>
      <w:r w:rsidR="00664701" w:rsidRPr="00E71CC4">
        <w:t xml:space="preserve">ко достижение целевых уровней холестерина </w:t>
      </w:r>
      <w:r w:rsidR="00AB6D89" w:rsidRPr="00E71CC4">
        <w:t>Л</w:t>
      </w:r>
      <w:r w:rsidR="00664701" w:rsidRPr="00E71CC4">
        <w:t>П</w:t>
      </w:r>
      <w:r w:rsidR="00AB6D89" w:rsidRPr="00E71CC4">
        <w:t>НП остается пока на уровне 40 %.</w:t>
      </w:r>
      <w:r w:rsidR="00092D8A">
        <w:t xml:space="preserve"> </w:t>
      </w:r>
      <w:r w:rsidR="00AB6D89" w:rsidRPr="00E71CC4">
        <w:t>Представляет интерес влияние снижения концентрации общего холестерина и его фракций в крови на функцию эндотелия как одного из главных предикторов и ранний маркер кардиоваскулярной патологии.</w:t>
      </w:r>
    </w:p>
    <w:p w:rsidR="007245CF" w:rsidRPr="00E71CC4" w:rsidRDefault="007245CF" w:rsidP="00E71CC4">
      <w:pPr>
        <w:spacing w:after="0" w:line="360" w:lineRule="auto"/>
        <w:jc w:val="both"/>
        <w:rPr>
          <w:b/>
        </w:rPr>
      </w:pPr>
    </w:p>
    <w:p w:rsidR="007245CF" w:rsidRPr="00E71CC4" w:rsidRDefault="008B63CD" w:rsidP="00E71CC4">
      <w:pPr>
        <w:spacing w:after="0" w:line="360" w:lineRule="auto"/>
        <w:jc w:val="both"/>
        <w:rPr>
          <w:b/>
        </w:rPr>
      </w:pPr>
      <w:r w:rsidRPr="00E71CC4">
        <w:rPr>
          <w:b/>
        </w:rPr>
        <w:t>Цель.</w:t>
      </w:r>
    </w:p>
    <w:p w:rsidR="007245CF" w:rsidRPr="00E71CC4" w:rsidRDefault="007245CF" w:rsidP="00E71CC4">
      <w:pPr>
        <w:spacing w:after="0" w:line="360" w:lineRule="auto"/>
        <w:jc w:val="both"/>
        <w:rPr>
          <w:b/>
        </w:rPr>
      </w:pPr>
    </w:p>
    <w:p w:rsidR="0047755F" w:rsidRPr="00E71CC4" w:rsidRDefault="0047755F" w:rsidP="00E71CC4">
      <w:pPr>
        <w:spacing w:after="0" w:line="360" w:lineRule="auto"/>
        <w:jc w:val="both"/>
      </w:pPr>
      <w:r w:rsidRPr="00E71CC4">
        <w:t xml:space="preserve">Целью настоящего исследования являлась оценка </w:t>
      </w:r>
      <w:r w:rsidR="00AB6D89" w:rsidRPr="00E71CC4">
        <w:t>показателей</w:t>
      </w:r>
      <w:r w:rsidRPr="00E71CC4">
        <w:t xml:space="preserve"> липид</w:t>
      </w:r>
      <w:r w:rsidR="003F7DD5" w:rsidRPr="00E71CC4">
        <w:t>ного обмена</w:t>
      </w:r>
      <w:r w:rsidR="00092D8A">
        <w:t xml:space="preserve"> </w:t>
      </w:r>
      <w:r w:rsidR="00AB6D89" w:rsidRPr="00E71CC4">
        <w:t xml:space="preserve">и функции эндотелия </w:t>
      </w:r>
      <w:r w:rsidRPr="00E71CC4">
        <w:t>у лиц с АГ</w:t>
      </w:r>
      <w:r w:rsidR="00AB6D89" w:rsidRPr="00E71CC4">
        <w:t>,</w:t>
      </w:r>
      <w:r w:rsidR="00092D8A">
        <w:t xml:space="preserve"> </w:t>
      </w:r>
      <w:r w:rsidR="00AB6D89" w:rsidRPr="00E71CC4">
        <w:t xml:space="preserve">абдоминальным ожирением </w:t>
      </w:r>
      <w:r w:rsidRPr="00E71CC4">
        <w:t xml:space="preserve">и </w:t>
      </w:r>
      <w:proofErr w:type="spellStart"/>
      <w:r w:rsidR="00AB6D89" w:rsidRPr="00E71CC4">
        <w:t>дислипидемией</w:t>
      </w:r>
      <w:proofErr w:type="spellEnd"/>
      <w:r w:rsidRPr="00E71CC4">
        <w:t xml:space="preserve"> на фоне </w:t>
      </w:r>
      <w:r w:rsidR="00637733" w:rsidRPr="00E71CC4">
        <w:t xml:space="preserve">комбинированной </w:t>
      </w:r>
      <w:r w:rsidRPr="00E71CC4">
        <w:t xml:space="preserve">терапии </w:t>
      </w:r>
      <w:r w:rsidR="00637733" w:rsidRPr="00E71CC4">
        <w:t xml:space="preserve">с </w:t>
      </w:r>
      <w:r w:rsidR="00D64254" w:rsidRPr="00E71CC4">
        <w:t xml:space="preserve">включением </w:t>
      </w:r>
      <w:r w:rsidR="00225DB5" w:rsidRPr="00E71CC4">
        <w:t>аторв</w:t>
      </w:r>
      <w:r w:rsidR="001937B7" w:rsidRPr="00E71CC4">
        <w:t>а</w:t>
      </w:r>
      <w:r w:rsidR="00225DB5" w:rsidRPr="00E71CC4">
        <w:t>статин</w:t>
      </w:r>
      <w:r w:rsidR="00D64254" w:rsidRPr="00E71CC4">
        <w:t>а</w:t>
      </w:r>
      <w:r w:rsidRPr="00E71CC4">
        <w:t>.</w:t>
      </w:r>
    </w:p>
    <w:p w:rsidR="007245CF" w:rsidRPr="00E71CC4" w:rsidRDefault="007245CF" w:rsidP="00E71CC4">
      <w:pPr>
        <w:spacing w:after="0" w:line="360" w:lineRule="auto"/>
        <w:jc w:val="both"/>
        <w:rPr>
          <w:b/>
        </w:rPr>
      </w:pPr>
    </w:p>
    <w:p w:rsidR="007245CF" w:rsidRPr="00E71CC4" w:rsidRDefault="008B63CD" w:rsidP="00E71CC4">
      <w:pPr>
        <w:spacing w:after="0" w:line="360" w:lineRule="auto"/>
        <w:jc w:val="both"/>
        <w:rPr>
          <w:b/>
        </w:rPr>
      </w:pPr>
      <w:r w:rsidRPr="00E71CC4">
        <w:rPr>
          <w:b/>
        </w:rPr>
        <w:t>Материалы и методы.</w:t>
      </w:r>
    </w:p>
    <w:p w:rsidR="007245CF" w:rsidRPr="00E71CC4" w:rsidRDefault="007245CF" w:rsidP="00E71CC4">
      <w:pPr>
        <w:spacing w:after="0" w:line="360" w:lineRule="auto"/>
        <w:jc w:val="both"/>
      </w:pPr>
    </w:p>
    <w:p w:rsidR="006761E5" w:rsidRPr="00E71CC4" w:rsidRDefault="00253A02" w:rsidP="00E71CC4">
      <w:pPr>
        <w:spacing w:after="0" w:line="360" w:lineRule="auto"/>
        <w:jc w:val="both"/>
      </w:pPr>
      <w:r w:rsidRPr="00E71CC4">
        <w:t>Верификацию диагноза, степени и риска АГ у обследованных лиц проводили согласно Национальным (2010г.) [</w:t>
      </w:r>
      <w:r w:rsidR="00A500FD" w:rsidRPr="00E71CC4">
        <w:t>1</w:t>
      </w:r>
      <w:r w:rsidRPr="00E71CC4">
        <w:t>]</w:t>
      </w:r>
      <w:r w:rsidR="00092D8A">
        <w:t xml:space="preserve"> </w:t>
      </w:r>
      <w:r w:rsidRPr="00E71CC4">
        <w:t>и Европейским (20</w:t>
      </w:r>
      <w:r w:rsidR="00AB6D89" w:rsidRPr="00E71CC4">
        <w:t>07</w:t>
      </w:r>
      <w:r w:rsidRPr="00E71CC4">
        <w:t>г.)</w:t>
      </w:r>
      <w:r w:rsidR="00092D8A">
        <w:t xml:space="preserve"> </w:t>
      </w:r>
      <w:r w:rsidRPr="00E71CC4">
        <w:t>[</w:t>
      </w:r>
      <w:r w:rsidR="00A500FD" w:rsidRPr="00E71CC4">
        <w:t>4</w:t>
      </w:r>
      <w:r w:rsidRPr="00E71CC4">
        <w:t xml:space="preserve">] рекомендациям. Направление лиц с АГ </w:t>
      </w:r>
      <w:r w:rsidR="005B1BB9" w:rsidRPr="00E71CC4">
        <w:rPr>
          <w:lang w:val="en-US"/>
        </w:rPr>
        <w:t>II</w:t>
      </w:r>
      <w:r w:rsidRPr="00E71CC4">
        <w:t xml:space="preserve"> ст. риск 2-3 проводилось терапевтами и кардиологами городских поликлиник №1 и №6 г. Гродно по мере обращаемости</w:t>
      </w:r>
      <w:r w:rsidR="00D64254" w:rsidRPr="00E71CC4">
        <w:t>,</w:t>
      </w:r>
      <w:r w:rsidRPr="00E71CC4">
        <w:t xml:space="preserve"> при подписании информированного согласия пациентов и их соответствии критериям включения/исключения в исследование. </w:t>
      </w:r>
      <w:r w:rsidR="00E13703" w:rsidRPr="00E71CC4">
        <w:t xml:space="preserve">Критериями включения в исследование были: наличие </w:t>
      </w:r>
      <w:proofErr w:type="spellStart"/>
      <w:r w:rsidR="00E13703" w:rsidRPr="00E71CC4">
        <w:t>эссенциальной</w:t>
      </w:r>
      <w:proofErr w:type="spellEnd"/>
      <w:r w:rsidR="00E13703" w:rsidRPr="00E71CC4">
        <w:t xml:space="preserve"> АГ </w:t>
      </w:r>
      <w:r w:rsidR="004F58A1" w:rsidRPr="00E71CC4">
        <w:rPr>
          <w:lang w:val="en-US"/>
        </w:rPr>
        <w:t>II</w:t>
      </w:r>
      <w:r w:rsidR="00092D8A">
        <w:t xml:space="preserve"> </w:t>
      </w:r>
      <w:r w:rsidR="00E13703" w:rsidRPr="00E71CC4">
        <w:t xml:space="preserve">ст., абдоминального ожирения и дислипидемии. </w:t>
      </w:r>
      <w:proofErr w:type="gramStart"/>
      <w:r w:rsidR="00E13703" w:rsidRPr="00E71CC4">
        <w:t xml:space="preserve">Критерии исключения из исследования: наличие </w:t>
      </w:r>
      <w:r w:rsidR="006761E5" w:rsidRPr="00E71CC4">
        <w:t xml:space="preserve">заболеваний </w:t>
      </w:r>
      <w:r w:rsidR="00E13703" w:rsidRPr="00E71CC4">
        <w:t>приводящих к вторичной АГ (эндокринн</w:t>
      </w:r>
      <w:r w:rsidR="00D64254" w:rsidRPr="00E71CC4">
        <w:t>ых</w:t>
      </w:r>
      <w:r w:rsidR="00E13703" w:rsidRPr="00E71CC4">
        <w:t xml:space="preserve">, почечных и т.д.), </w:t>
      </w:r>
      <w:r w:rsidR="006761E5" w:rsidRPr="00E71CC4">
        <w:t>сахарный диабет,</w:t>
      </w:r>
      <w:r w:rsidR="00092D8A">
        <w:t xml:space="preserve"> </w:t>
      </w:r>
      <w:r w:rsidR="00E13703" w:rsidRPr="00E71CC4">
        <w:t xml:space="preserve">недостаточность кровообращения </w:t>
      </w:r>
      <w:r w:rsidR="006761E5" w:rsidRPr="00E71CC4">
        <w:t xml:space="preserve">выше </w:t>
      </w:r>
      <w:r w:rsidR="00E13703" w:rsidRPr="00E71CC4">
        <w:t>Н</w:t>
      </w:r>
      <w:r w:rsidR="004F58A1" w:rsidRPr="00E71CC4">
        <w:rPr>
          <w:lang w:val="en-US"/>
        </w:rPr>
        <w:t>I</w:t>
      </w:r>
      <w:r w:rsidR="00E13703" w:rsidRPr="00E71CC4">
        <w:t>, ишемическая болезнь сердца, постоянные формы нарушения ритма и проводимости (фибрилляция предсердий, частая экстрасистолия и т. д.), прием глюкокортикостероидов, онкопатология и другие тяжелые сопутствующие заболевания</w:t>
      </w:r>
      <w:r w:rsidR="00D64254" w:rsidRPr="00E71CC4">
        <w:t>,</w:t>
      </w:r>
      <w:r w:rsidR="00E13703" w:rsidRPr="00E71CC4">
        <w:t xml:space="preserve"> способные оказывать вл</w:t>
      </w:r>
      <w:r w:rsidR="00ED5452" w:rsidRPr="00E71CC4">
        <w:t>ияние на исследуемые параметры.</w:t>
      </w:r>
      <w:proofErr w:type="gramEnd"/>
    </w:p>
    <w:p w:rsidR="008F72BA" w:rsidRPr="00E71CC4" w:rsidRDefault="006761E5" w:rsidP="00E71CC4">
      <w:pPr>
        <w:spacing w:after="0" w:line="360" w:lineRule="auto"/>
        <w:jc w:val="both"/>
      </w:pPr>
      <w:r w:rsidRPr="00E71CC4">
        <w:t xml:space="preserve">Нами обследовано 38 лиц </w:t>
      </w:r>
      <w:r w:rsidR="006001AB" w:rsidRPr="00E71CC4">
        <w:t xml:space="preserve">с </w:t>
      </w:r>
      <w:r w:rsidR="004E3EBC" w:rsidRPr="00E71CC4">
        <w:t xml:space="preserve">АГ </w:t>
      </w:r>
      <w:proofErr w:type="gramStart"/>
      <w:r w:rsidR="0047755F" w:rsidRPr="00E71CC4">
        <w:rPr>
          <w:lang w:val="en-US"/>
        </w:rPr>
        <w:t>II</w:t>
      </w:r>
      <w:proofErr w:type="gramEnd"/>
      <w:r w:rsidR="004E3EBC" w:rsidRPr="00E71CC4">
        <w:t>степени</w:t>
      </w:r>
      <w:r w:rsidR="00637733" w:rsidRPr="00E71CC4">
        <w:t>,</w:t>
      </w:r>
      <w:r w:rsidR="009042A1" w:rsidRPr="009042A1">
        <w:t xml:space="preserve"> </w:t>
      </w:r>
      <w:r w:rsidR="000171D9" w:rsidRPr="00E71CC4">
        <w:t xml:space="preserve">имевших </w:t>
      </w:r>
      <w:r w:rsidR="00AB6D89" w:rsidRPr="00E71CC4">
        <w:t>избыточн</w:t>
      </w:r>
      <w:r w:rsidR="000171D9" w:rsidRPr="00E71CC4">
        <w:t>ую</w:t>
      </w:r>
      <w:r w:rsidR="00AB6D89" w:rsidRPr="00E71CC4">
        <w:t xml:space="preserve"> масс</w:t>
      </w:r>
      <w:r w:rsidR="000171D9" w:rsidRPr="00E71CC4">
        <w:t>у</w:t>
      </w:r>
      <w:r w:rsidR="00AB6D89" w:rsidRPr="00E71CC4">
        <w:t xml:space="preserve"> тела</w:t>
      </w:r>
      <w:r w:rsidR="000171D9" w:rsidRPr="00E71CC4">
        <w:t xml:space="preserve"> (47%)</w:t>
      </w:r>
      <w:r w:rsidR="00AB6D89" w:rsidRPr="00E71CC4">
        <w:t xml:space="preserve"> или ожирение.</w:t>
      </w:r>
      <w:r w:rsidR="00092D8A">
        <w:t xml:space="preserve"> </w:t>
      </w:r>
      <w:r w:rsidR="00AB6D89" w:rsidRPr="00E71CC4">
        <w:t>Группу контроля составили 25 практически здоровых лиц, средний возраст 41,5±9,7 лет (11 мужчин и 14 женщин).</w:t>
      </w:r>
      <w:r w:rsidR="00092D8A">
        <w:t xml:space="preserve"> </w:t>
      </w:r>
      <w:r w:rsidR="00D64254" w:rsidRPr="00E71CC4">
        <w:t>В зависимости от</w:t>
      </w:r>
      <w:r w:rsidRPr="00E71CC4">
        <w:t xml:space="preserve"> проводимой терапии пациенты </w:t>
      </w:r>
      <w:r w:rsidR="005B1BB9" w:rsidRPr="00E71CC4">
        <w:t xml:space="preserve">были разделены на </w:t>
      </w:r>
      <w:r w:rsidR="008F72BA" w:rsidRPr="00E71CC4">
        <w:t xml:space="preserve">2 </w:t>
      </w:r>
      <w:r w:rsidR="000B7FAF" w:rsidRPr="00E71CC4">
        <w:t>групп</w:t>
      </w:r>
      <w:r w:rsidR="008F72BA" w:rsidRPr="00E71CC4">
        <w:t>ы.</w:t>
      </w:r>
      <w:r w:rsidR="00092D8A">
        <w:t xml:space="preserve"> </w:t>
      </w:r>
      <w:r w:rsidR="008F72BA" w:rsidRPr="00E71CC4">
        <w:t xml:space="preserve">Группу </w:t>
      </w:r>
      <w:r w:rsidR="000B7FAF" w:rsidRPr="00E71CC4">
        <w:t xml:space="preserve">1 </w:t>
      </w:r>
      <w:r w:rsidR="008F72BA" w:rsidRPr="00E71CC4">
        <w:t>составили</w:t>
      </w:r>
      <w:r w:rsidR="000B7FAF" w:rsidRPr="00E71CC4">
        <w:t xml:space="preserve"> 22 человек</w:t>
      </w:r>
      <w:r w:rsidR="008F72BA" w:rsidRPr="00E71CC4">
        <w:t>а (10 мужчин и 12 женщин)</w:t>
      </w:r>
      <w:r w:rsidR="000B7FAF" w:rsidRPr="00E71CC4">
        <w:t>,</w:t>
      </w:r>
      <w:r w:rsidR="005B1BB9" w:rsidRPr="00E71CC4">
        <w:t xml:space="preserve"> получавших антигипертензивную терапию </w:t>
      </w:r>
      <w:r w:rsidR="008F72BA" w:rsidRPr="00E71CC4">
        <w:t xml:space="preserve">в виде комбинации </w:t>
      </w:r>
      <w:r w:rsidR="005B1BB9" w:rsidRPr="00E71CC4">
        <w:t>ингибитор</w:t>
      </w:r>
      <w:r w:rsidR="008F72BA" w:rsidRPr="00E71CC4">
        <w:t>а</w:t>
      </w:r>
      <w:r w:rsidR="005B1BB9" w:rsidRPr="00E71CC4">
        <w:t xml:space="preserve"> АПФ </w:t>
      </w:r>
      <w:r w:rsidR="008F72BA" w:rsidRPr="00E71CC4">
        <w:t>с</w:t>
      </w:r>
      <w:r w:rsidR="00092D8A">
        <w:t xml:space="preserve"> </w:t>
      </w:r>
      <w:proofErr w:type="spellStart"/>
      <w:r w:rsidR="005B1BB9" w:rsidRPr="00E71CC4">
        <w:t>амлодипин</w:t>
      </w:r>
      <w:r w:rsidR="008F72BA" w:rsidRPr="00E71CC4">
        <w:t>ом</w:t>
      </w:r>
      <w:proofErr w:type="spellEnd"/>
      <w:r w:rsidR="005B1BB9" w:rsidRPr="00E71CC4">
        <w:t>,</w:t>
      </w:r>
      <w:r w:rsidR="00092D8A">
        <w:t xml:space="preserve"> </w:t>
      </w:r>
      <w:r w:rsidR="000B7FAF" w:rsidRPr="00E71CC4">
        <w:t>средний возраст 49,4±9,5 лет</w:t>
      </w:r>
      <w:r w:rsidR="008F72BA" w:rsidRPr="00E71CC4">
        <w:t>.</w:t>
      </w:r>
      <w:r w:rsidR="00092D8A">
        <w:t xml:space="preserve"> </w:t>
      </w:r>
      <w:r w:rsidR="008F72BA" w:rsidRPr="00E71CC4">
        <w:t>Г</w:t>
      </w:r>
      <w:r w:rsidR="00F51C47" w:rsidRPr="00E71CC4">
        <w:t>руп</w:t>
      </w:r>
      <w:r w:rsidR="005B1BB9" w:rsidRPr="00E71CC4">
        <w:t>пу</w:t>
      </w:r>
      <w:r w:rsidR="00F51C47" w:rsidRPr="00E71CC4">
        <w:t xml:space="preserve"> 2 </w:t>
      </w:r>
      <w:r w:rsidR="008F72BA" w:rsidRPr="00E71CC4">
        <w:t>составили</w:t>
      </w:r>
      <w:r w:rsidR="00F51C47" w:rsidRPr="00E71CC4">
        <w:t xml:space="preserve"> 16 человек</w:t>
      </w:r>
      <w:r w:rsidR="00092D8A">
        <w:t xml:space="preserve"> </w:t>
      </w:r>
      <w:r w:rsidR="008F72BA" w:rsidRPr="00E71CC4">
        <w:t xml:space="preserve">(6 мужчин и 10 </w:t>
      </w:r>
      <w:r w:rsidR="008F72BA" w:rsidRPr="00E71CC4">
        <w:lastRenderedPageBreak/>
        <w:t>женщин)</w:t>
      </w:r>
      <w:r w:rsidR="00F51C47" w:rsidRPr="00E71CC4">
        <w:t xml:space="preserve">, </w:t>
      </w:r>
      <w:r w:rsidR="008F72BA" w:rsidRPr="00E71CC4">
        <w:t xml:space="preserve">в дополнение к аналогичной </w:t>
      </w:r>
      <w:proofErr w:type="spellStart"/>
      <w:r w:rsidR="008F72BA" w:rsidRPr="00E71CC4">
        <w:t>антигипертензивной</w:t>
      </w:r>
      <w:proofErr w:type="spellEnd"/>
      <w:r w:rsidR="00092D8A">
        <w:t xml:space="preserve"> </w:t>
      </w:r>
      <w:r w:rsidR="005B1BB9" w:rsidRPr="00E71CC4">
        <w:t>терапи</w:t>
      </w:r>
      <w:r w:rsidR="008F72BA" w:rsidRPr="00E71CC4">
        <w:t>и</w:t>
      </w:r>
      <w:r w:rsidR="002D2F34" w:rsidRPr="00E71CC4">
        <w:t>,</w:t>
      </w:r>
      <w:r w:rsidR="00092D8A">
        <w:t xml:space="preserve"> </w:t>
      </w:r>
      <w:r w:rsidR="008F72BA" w:rsidRPr="00E71CC4">
        <w:t>прин</w:t>
      </w:r>
      <w:r w:rsidR="005B1BB9" w:rsidRPr="00E71CC4">
        <w:t>и</w:t>
      </w:r>
      <w:r w:rsidR="008F72BA" w:rsidRPr="00E71CC4">
        <w:t>мавшие</w:t>
      </w:r>
      <w:r w:rsidR="00092D8A">
        <w:t xml:space="preserve"> </w:t>
      </w:r>
      <w:proofErr w:type="spellStart"/>
      <w:r w:rsidR="005B1BB9" w:rsidRPr="00E71CC4">
        <w:t>аторвастатин</w:t>
      </w:r>
      <w:proofErr w:type="spellEnd"/>
      <w:r w:rsidR="005B1BB9" w:rsidRPr="00E71CC4">
        <w:t xml:space="preserve"> («</w:t>
      </w:r>
      <w:proofErr w:type="spellStart"/>
      <w:r w:rsidR="005B1BB9" w:rsidRPr="00E71CC4">
        <w:t>Липромак-ЛФ</w:t>
      </w:r>
      <w:proofErr w:type="spellEnd"/>
      <w:r w:rsidR="005B1BB9" w:rsidRPr="00E71CC4">
        <w:t>», СООО «</w:t>
      </w:r>
      <w:proofErr w:type="spellStart"/>
      <w:r w:rsidR="005B1BB9" w:rsidRPr="00E71CC4">
        <w:t>Лек</w:t>
      </w:r>
      <w:r w:rsidR="003D03DD">
        <w:t>ф</w:t>
      </w:r>
      <w:r w:rsidR="005B1BB9" w:rsidRPr="00E71CC4">
        <w:t>арм</w:t>
      </w:r>
      <w:proofErr w:type="spellEnd"/>
      <w:r w:rsidR="005B1BB9" w:rsidRPr="00E71CC4">
        <w:t xml:space="preserve">») в дозе 20 мг в сутки, </w:t>
      </w:r>
      <w:r w:rsidR="006001AB" w:rsidRPr="00E71CC4">
        <w:t>средний возраст 5</w:t>
      </w:r>
      <w:r w:rsidR="004569EE" w:rsidRPr="00E71CC4">
        <w:t>5</w:t>
      </w:r>
      <w:r w:rsidR="006001AB" w:rsidRPr="00E71CC4">
        <w:t>,</w:t>
      </w:r>
      <w:r w:rsidR="004569EE" w:rsidRPr="00E71CC4">
        <w:t>5[48;57]</w:t>
      </w:r>
      <w:r w:rsidR="002D2F34" w:rsidRPr="00E71CC4">
        <w:t xml:space="preserve"> лет.</w:t>
      </w:r>
    </w:p>
    <w:p w:rsidR="00E36F9B" w:rsidRPr="00E71CC4" w:rsidRDefault="006001AB" w:rsidP="00E71CC4">
      <w:pPr>
        <w:spacing w:after="0" w:line="360" w:lineRule="auto"/>
        <w:jc w:val="both"/>
      </w:pPr>
      <w:r w:rsidRPr="00E71CC4">
        <w:t>И</w:t>
      </w:r>
      <w:r w:rsidR="0047755F" w:rsidRPr="00E71CC4">
        <w:t>сходно</w:t>
      </w:r>
      <w:r w:rsidRPr="00E71CC4">
        <w:t xml:space="preserve"> и через 3 месяца лечения у пациентов </w:t>
      </w:r>
      <w:r w:rsidR="00E36F9B" w:rsidRPr="00E71CC4">
        <w:t xml:space="preserve">оценивались антропометрические данные: рост, масса тела, </w:t>
      </w:r>
      <w:r w:rsidR="00CE5789" w:rsidRPr="00E71CC4">
        <w:t>рассчитывался</w:t>
      </w:r>
      <w:r w:rsidRPr="00E71CC4">
        <w:t xml:space="preserve"> индекс массы тела (ИМТ)</w:t>
      </w:r>
      <w:r w:rsidR="005B1BB9" w:rsidRPr="00E71CC4">
        <w:t xml:space="preserve"> по формуле Кет</w:t>
      </w:r>
      <w:r w:rsidR="007B32CF" w:rsidRPr="00E71CC4">
        <w:t>е</w:t>
      </w:r>
      <w:r w:rsidR="005B1BB9" w:rsidRPr="00E71CC4">
        <w:t>ле</w:t>
      </w:r>
      <w:r w:rsidR="008F72BA" w:rsidRPr="00E71CC4">
        <w:t>. Нормальный ИМТ считался при значении 18,5-24,9</w:t>
      </w:r>
      <w:r w:rsidR="00637733" w:rsidRPr="00E71CC4">
        <w:t xml:space="preserve"> кг/м</w:t>
      </w:r>
      <w:proofErr w:type="gramStart"/>
      <w:r w:rsidR="00637733" w:rsidRPr="00E71CC4">
        <w:rPr>
          <w:vertAlign w:val="superscript"/>
        </w:rPr>
        <w:t>2</w:t>
      </w:r>
      <w:proofErr w:type="gramEnd"/>
      <w:r w:rsidR="008F72BA" w:rsidRPr="00E71CC4">
        <w:t>, избыточная масса тела – 25-29,9</w:t>
      </w:r>
      <w:r w:rsidR="00637733" w:rsidRPr="00E71CC4">
        <w:t xml:space="preserve"> кг/м</w:t>
      </w:r>
      <w:r w:rsidR="00637733" w:rsidRPr="00E71CC4">
        <w:rPr>
          <w:vertAlign w:val="superscript"/>
        </w:rPr>
        <w:t>2</w:t>
      </w:r>
      <w:r w:rsidR="008F72BA" w:rsidRPr="00E71CC4">
        <w:t xml:space="preserve">, ожирение </w:t>
      </w:r>
      <w:r w:rsidR="00637733" w:rsidRPr="00E71CC4">
        <w:t>–</w:t>
      </w:r>
      <w:r w:rsidR="008F72BA" w:rsidRPr="00E71CC4">
        <w:t xml:space="preserve"> ≥30</w:t>
      </w:r>
      <w:r w:rsidR="00637733" w:rsidRPr="00E71CC4">
        <w:t xml:space="preserve"> кг/м</w:t>
      </w:r>
      <w:r w:rsidR="00637733" w:rsidRPr="00E71CC4">
        <w:rPr>
          <w:vertAlign w:val="superscript"/>
        </w:rPr>
        <w:t>2</w:t>
      </w:r>
      <w:r w:rsidR="008F72BA" w:rsidRPr="00E71CC4">
        <w:t>.</w:t>
      </w:r>
      <w:r w:rsidR="009042A1" w:rsidRPr="009042A1">
        <w:t xml:space="preserve"> </w:t>
      </w:r>
      <w:r w:rsidR="008F72BA" w:rsidRPr="00E71CC4">
        <w:t>И</w:t>
      </w:r>
      <w:r w:rsidR="00CE5789" w:rsidRPr="00E71CC4">
        <w:t xml:space="preserve">змерялись </w:t>
      </w:r>
      <w:r w:rsidRPr="00E71CC4">
        <w:t>окружность талии (ОТ)</w:t>
      </w:r>
      <w:r w:rsidR="003D03DD">
        <w:t>,</w:t>
      </w:r>
      <w:r w:rsidRPr="00E71CC4">
        <w:t xml:space="preserve"> </w:t>
      </w:r>
      <w:r w:rsidR="00E36F9B" w:rsidRPr="00E71CC4">
        <w:t xml:space="preserve">бедер (ОБ), </w:t>
      </w:r>
      <w:r w:rsidR="003D03DD">
        <w:t xml:space="preserve">рассчитывалось </w:t>
      </w:r>
      <w:r w:rsidR="00E36F9B" w:rsidRPr="00E71CC4">
        <w:t xml:space="preserve">соотношение ОТ </w:t>
      </w:r>
      <w:proofErr w:type="gramStart"/>
      <w:r w:rsidR="00E36F9B" w:rsidRPr="00E71CC4">
        <w:t>к</w:t>
      </w:r>
      <w:proofErr w:type="gramEnd"/>
      <w:r w:rsidR="00E36F9B" w:rsidRPr="00E71CC4">
        <w:t xml:space="preserve"> ОБ</w:t>
      </w:r>
      <w:r w:rsidR="003D03DD">
        <w:t xml:space="preserve"> для подтверждения наличия абдоминального ожирения</w:t>
      </w:r>
      <w:r w:rsidR="00E36F9B" w:rsidRPr="00E71CC4">
        <w:t>.</w:t>
      </w:r>
      <w:r w:rsidR="00092D8A">
        <w:t xml:space="preserve"> </w:t>
      </w:r>
      <w:r w:rsidR="005B1BB9" w:rsidRPr="00E71CC4">
        <w:t xml:space="preserve">Всем обследованным выполнялись общеклинические анализы крови и мочи. Биохимический анализ крови включал определение мочевины, </w:t>
      </w:r>
      <w:proofErr w:type="spellStart"/>
      <w:r w:rsidR="005B1BB9" w:rsidRPr="00E71CC4">
        <w:t>креатинина</w:t>
      </w:r>
      <w:proofErr w:type="spellEnd"/>
      <w:r w:rsidR="005B1BB9" w:rsidRPr="00E71CC4">
        <w:t>, мочевой кислоты</w:t>
      </w:r>
      <w:r w:rsidR="00D64254" w:rsidRPr="00E71CC4">
        <w:t xml:space="preserve">, </w:t>
      </w:r>
      <w:proofErr w:type="spellStart"/>
      <w:r w:rsidR="00D64254" w:rsidRPr="00E71CC4">
        <w:t>АсАТ</w:t>
      </w:r>
      <w:proofErr w:type="spellEnd"/>
      <w:r w:rsidR="00D64254" w:rsidRPr="00E71CC4">
        <w:t xml:space="preserve">, </w:t>
      </w:r>
      <w:proofErr w:type="spellStart"/>
      <w:r w:rsidR="00D64254" w:rsidRPr="00E71CC4">
        <w:t>АлАТ</w:t>
      </w:r>
      <w:proofErr w:type="spellEnd"/>
      <w:r w:rsidR="005B1BB9" w:rsidRPr="00E71CC4">
        <w:t>.</w:t>
      </w:r>
    </w:p>
    <w:p w:rsidR="00CF4A02" w:rsidRPr="00E71CC4" w:rsidRDefault="00C27571" w:rsidP="00E71CC4">
      <w:pPr>
        <w:spacing w:after="0" w:line="360" w:lineRule="auto"/>
        <w:jc w:val="both"/>
      </w:pPr>
      <w:r w:rsidRPr="00E71CC4">
        <w:t>Исследование показателей липидограммы проводили электрофоретическим методом на шестиканальном спектрофотометре «</w:t>
      </w:r>
      <w:r w:rsidRPr="00E71CC4">
        <w:rPr>
          <w:lang w:val="en-US"/>
        </w:rPr>
        <w:t>Solar</w:t>
      </w:r>
      <w:r w:rsidRPr="00E71CC4">
        <w:t>» (РБ) с о</w:t>
      </w:r>
      <w:r w:rsidR="006001AB" w:rsidRPr="00E71CC4">
        <w:t>предел</w:t>
      </w:r>
      <w:r w:rsidRPr="00E71CC4">
        <w:t>ением</w:t>
      </w:r>
      <w:r w:rsidR="006001AB" w:rsidRPr="00E71CC4">
        <w:t xml:space="preserve"> общего холестерина</w:t>
      </w:r>
      <w:r w:rsidR="00C85F69" w:rsidRPr="00E71CC4">
        <w:t xml:space="preserve"> (ОХС)</w:t>
      </w:r>
      <w:r w:rsidR="00CE5789" w:rsidRPr="00E71CC4">
        <w:t xml:space="preserve">, </w:t>
      </w:r>
      <w:r w:rsidR="00CF4A02" w:rsidRPr="00E71CC4">
        <w:t>липопротеидов высокой (</w:t>
      </w:r>
      <w:r w:rsidR="00CE5789" w:rsidRPr="00E71CC4">
        <w:t>ЛПВП</w:t>
      </w:r>
      <w:r w:rsidR="00CF4A02" w:rsidRPr="00E71CC4">
        <w:t>)</w:t>
      </w:r>
      <w:r w:rsidR="00547678" w:rsidRPr="00E71CC4">
        <w:t>,</w:t>
      </w:r>
      <w:r w:rsidR="00CF4A02" w:rsidRPr="00E71CC4">
        <w:t xml:space="preserve"> низкой</w:t>
      </w:r>
      <w:r w:rsidR="00092D8A">
        <w:t xml:space="preserve"> </w:t>
      </w:r>
      <w:r w:rsidR="00CF4A02" w:rsidRPr="00E71CC4">
        <w:t>(</w:t>
      </w:r>
      <w:r w:rsidR="00CE5789" w:rsidRPr="00E71CC4">
        <w:t>ЛПНП</w:t>
      </w:r>
      <w:r w:rsidR="00CF4A02" w:rsidRPr="00E71CC4">
        <w:t>) плотности</w:t>
      </w:r>
      <w:r w:rsidR="00CE5789" w:rsidRPr="00E71CC4">
        <w:t xml:space="preserve"> и</w:t>
      </w:r>
      <w:r w:rsidR="006001AB" w:rsidRPr="00E71CC4">
        <w:t xml:space="preserve"> триглицеридов</w:t>
      </w:r>
      <w:r w:rsidR="00CE5789" w:rsidRPr="00E71CC4">
        <w:t xml:space="preserve"> (ТГ).</w:t>
      </w:r>
      <w:r w:rsidRPr="00E71CC4">
        <w:t xml:space="preserve"> Рассчитывали коэффициент атерогенности (КА) по формуле: КА=(ОХС-ЛПВП)/ЛПВП.</w:t>
      </w:r>
    </w:p>
    <w:p w:rsidR="00B247C6" w:rsidRPr="00E71CC4" w:rsidRDefault="00637733" w:rsidP="00E71CC4">
      <w:pPr>
        <w:spacing w:after="0" w:line="360" w:lineRule="auto"/>
        <w:jc w:val="both"/>
      </w:pPr>
      <w:r w:rsidRPr="00E71CC4">
        <w:t>Эндотелийзависимую вазодилятацию (</w:t>
      </w:r>
      <w:r w:rsidR="00B247C6" w:rsidRPr="00E71CC4">
        <w:t>ЭЗВД</w:t>
      </w:r>
      <w:r w:rsidRPr="00E71CC4">
        <w:t>)</w:t>
      </w:r>
      <w:r w:rsidR="00B247C6" w:rsidRPr="00E71CC4">
        <w:t xml:space="preserve"> определяли с помощью аппаратно-программного комплекса «Импекард-М» (РБ) при проведении пробы с реактивной гиперемией. Методом реоимпедансографии измерялась исходная скорость кровенаполнения </w:t>
      </w:r>
      <w:r w:rsidR="00B76BBE" w:rsidRPr="00E71CC4">
        <w:t>(</w:t>
      </w:r>
      <w:proofErr w:type="spellStart"/>
      <w:r w:rsidR="00B76BBE" w:rsidRPr="00E71CC4">
        <w:t>dz</w:t>
      </w:r>
      <w:proofErr w:type="spellEnd"/>
      <w:r w:rsidR="00B76BBE" w:rsidRPr="00E71CC4">
        <w:t>/</w:t>
      </w:r>
      <w:proofErr w:type="spellStart"/>
      <w:r w:rsidR="00B76BBE" w:rsidRPr="00E71CC4">
        <w:t>dt</w:t>
      </w:r>
      <w:proofErr w:type="spellEnd"/>
      <w:r w:rsidR="00B76BBE" w:rsidRPr="00E71CC4">
        <w:t xml:space="preserve">) </w:t>
      </w:r>
      <w:r w:rsidR="00B247C6" w:rsidRPr="00E71CC4">
        <w:t>обо</w:t>
      </w:r>
      <w:r w:rsidR="003B4C4C" w:rsidRPr="00E71CC4">
        <w:t>их предплечий в покое (после 10</w:t>
      </w:r>
      <w:r w:rsidR="00B247C6" w:rsidRPr="00E71CC4">
        <w:t xml:space="preserve">-15 минутного пребывания больного в горизонтальном положении). </w:t>
      </w:r>
      <w:proofErr w:type="gramStart"/>
      <w:r w:rsidR="00B247C6" w:rsidRPr="00E71CC4">
        <w:t xml:space="preserve">Затем накладывали компрессионную манжетку на правое плечо, давление в которой повышали на 50 мм рт. ст. от исходного в течение 5 минут, </w:t>
      </w:r>
      <w:r w:rsidR="00231702" w:rsidRPr="00E71CC4">
        <w:t>вызывая,</w:t>
      </w:r>
      <w:r w:rsidR="00B247C6" w:rsidRPr="00E71CC4">
        <w:t xml:space="preserve"> таким </w:t>
      </w:r>
      <w:r w:rsidR="00231702" w:rsidRPr="00E71CC4">
        <w:t>образом,</w:t>
      </w:r>
      <w:r w:rsidR="00B247C6" w:rsidRPr="00E71CC4">
        <w:t xml:space="preserve"> реактивную гиперемию, в ответ на которую возникает ЭЗВД.</w:t>
      </w:r>
      <w:proofErr w:type="gramEnd"/>
      <w:r w:rsidR="00B247C6" w:rsidRPr="00E71CC4">
        <w:t xml:space="preserve"> После прекращения окклюзии оценивали относительное изменение </w:t>
      </w:r>
      <w:r w:rsidR="00B76BBE" w:rsidRPr="00E71CC4">
        <w:t xml:space="preserve">объемной </w:t>
      </w:r>
      <w:r w:rsidR="00B247C6" w:rsidRPr="00E71CC4">
        <w:t>скорости кров</w:t>
      </w:r>
      <w:r w:rsidRPr="00E71CC4">
        <w:t xml:space="preserve">енаполнения (Δdz/dt) на 1, </w:t>
      </w:r>
      <w:r w:rsidR="00B76BBE" w:rsidRPr="00E71CC4">
        <w:t>2</w:t>
      </w:r>
      <w:r w:rsidRPr="00E71CC4">
        <w:t xml:space="preserve"> и 3</w:t>
      </w:r>
      <w:r w:rsidR="00B247C6" w:rsidRPr="00E71CC4">
        <w:t xml:space="preserve"> минут</w:t>
      </w:r>
      <w:r w:rsidRPr="00E71CC4">
        <w:t>ах</w:t>
      </w:r>
      <w:r w:rsidR="00B247C6" w:rsidRPr="00E71CC4">
        <w:t xml:space="preserve">. Признаком </w:t>
      </w:r>
      <w:r w:rsidR="00A9517D" w:rsidRPr="00E71CC4">
        <w:t>дисфункции эндотелия (</w:t>
      </w:r>
      <w:r w:rsidR="00B247C6" w:rsidRPr="00E71CC4">
        <w:t>ДЭ</w:t>
      </w:r>
      <w:r w:rsidR="00A9517D" w:rsidRPr="00E71CC4">
        <w:t>)</w:t>
      </w:r>
      <w:r w:rsidR="00B247C6" w:rsidRPr="00E71CC4">
        <w:t xml:space="preserve"> считали </w:t>
      </w:r>
      <w:r w:rsidR="00430229" w:rsidRPr="00E71CC4">
        <w:t xml:space="preserve">максимальный прирост </w:t>
      </w:r>
      <w:proofErr w:type="spellStart"/>
      <w:r w:rsidR="00B247C6" w:rsidRPr="00E71CC4">
        <w:t>dz</w:t>
      </w:r>
      <w:proofErr w:type="spellEnd"/>
      <w:r w:rsidR="00B247C6" w:rsidRPr="00E71CC4">
        <w:t>/</w:t>
      </w:r>
      <w:proofErr w:type="spellStart"/>
      <w:r w:rsidR="00B247C6" w:rsidRPr="00E71CC4">
        <w:t>dt</w:t>
      </w:r>
      <w:proofErr w:type="spellEnd"/>
      <w:r w:rsidR="00B247C6" w:rsidRPr="00E71CC4">
        <w:t xml:space="preserve"> менее 12%</w:t>
      </w:r>
      <w:r w:rsidRPr="00E71CC4">
        <w:t>.</w:t>
      </w:r>
      <w:r w:rsidR="00B247C6" w:rsidRPr="00E71CC4">
        <w:t xml:space="preserve"> Диапазон значений Δdz/dt от 12% до -2% соответствовал </w:t>
      </w:r>
      <w:r w:rsidR="00A9517D" w:rsidRPr="00E71CC4">
        <w:t xml:space="preserve">ДЭ </w:t>
      </w:r>
      <w:r w:rsidR="00B247C6" w:rsidRPr="00E71CC4">
        <w:t xml:space="preserve">1-ой степени, от -2% до -15% - </w:t>
      </w:r>
      <w:r w:rsidR="00A9517D" w:rsidRPr="00E71CC4">
        <w:t xml:space="preserve">ДЭ </w:t>
      </w:r>
      <w:r w:rsidR="00B247C6" w:rsidRPr="00E71CC4">
        <w:t xml:space="preserve">2-ой степени, менее -15% соответствовало </w:t>
      </w:r>
      <w:r w:rsidR="00A9517D" w:rsidRPr="00E71CC4">
        <w:t xml:space="preserve">ДЭ </w:t>
      </w:r>
      <w:r w:rsidR="00B247C6" w:rsidRPr="00E71CC4">
        <w:t xml:space="preserve">3-ей степени. </w:t>
      </w:r>
      <w:r w:rsidR="00727AD6" w:rsidRPr="00E71CC4">
        <w:t xml:space="preserve">Показатели </w:t>
      </w:r>
      <w:r w:rsidR="009C40AB" w:rsidRPr="00E71CC4">
        <w:t>центральной гемодинамики (</w:t>
      </w:r>
      <w:r w:rsidR="00727AD6" w:rsidRPr="00E71CC4">
        <w:t>ЦГД</w:t>
      </w:r>
      <w:r w:rsidR="009C40AB" w:rsidRPr="00E71CC4">
        <w:t>)</w:t>
      </w:r>
      <w:r w:rsidR="00727AD6" w:rsidRPr="00E71CC4">
        <w:t xml:space="preserve"> исследовались методом грудной тетраполярной реографии с помощью </w:t>
      </w:r>
      <w:r w:rsidR="009C40AB" w:rsidRPr="00E71CC4">
        <w:t xml:space="preserve">аппаратно-программного комплекса </w:t>
      </w:r>
      <w:r w:rsidR="00727AD6" w:rsidRPr="00E71CC4">
        <w:t>«Импекард-М» (</w:t>
      </w:r>
      <w:r w:rsidR="009C40AB" w:rsidRPr="00E71CC4">
        <w:t>Р</w:t>
      </w:r>
      <w:r w:rsidR="00727AD6" w:rsidRPr="00E71CC4">
        <w:t>Б).</w:t>
      </w:r>
      <w:r w:rsidR="00A9517D" w:rsidRPr="00E71CC4">
        <w:t xml:space="preserve"> В частности определялись: частота сердечных сокращений (ЧСС), ударный объем (УО), минутный объем (МО), сердечный индекс (СИ), общее периферической сопротивление (ОПС) и давление наполнения левого желудочка (ДНЛЖ).</w:t>
      </w:r>
    </w:p>
    <w:p w:rsidR="006001AB" w:rsidRPr="00E71CC4" w:rsidRDefault="006001AB" w:rsidP="00E71CC4">
      <w:pPr>
        <w:spacing w:after="0" w:line="360" w:lineRule="auto"/>
        <w:jc w:val="both"/>
      </w:pPr>
      <w:r w:rsidRPr="00E71CC4">
        <w:t>Полученные данные обрабатывались с помощью пакета программ «</w:t>
      </w:r>
      <w:r w:rsidRPr="00E71CC4">
        <w:rPr>
          <w:lang w:val="en-US"/>
        </w:rPr>
        <w:t>STATISTICA</w:t>
      </w:r>
      <w:r w:rsidRPr="00E71CC4">
        <w:t xml:space="preserve"> 7.0». Нормально распределенные </w:t>
      </w:r>
      <w:r w:rsidR="00C67B77" w:rsidRPr="00E71CC4">
        <w:t>данные</w:t>
      </w:r>
      <w:r w:rsidRPr="00E71CC4">
        <w:t xml:space="preserve"> представлены в виде среднего арифметического±стандартно</w:t>
      </w:r>
      <w:r w:rsidR="00A9517D" w:rsidRPr="00E71CC4">
        <w:t>го</w:t>
      </w:r>
      <w:r w:rsidRPr="00E71CC4">
        <w:t xml:space="preserve"> отклонени</w:t>
      </w:r>
      <w:r w:rsidR="00A9517D" w:rsidRPr="00E71CC4">
        <w:t>я</w:t>
      </w:r>
      <w:r w:rsidR="000233F4" w:rsidRPr="00E71CC4">
        <w:t xml:space="preserve"> (</w:t>
      </w:r>
      <w:r w:rsidR="000233F4" w:rsidRPr="00E71CC4">
        <w:rPr>
          <w:lang w:val="en-US"/>
        </w:rPr>
        <w:t>M</w:t>
      </w:r>
      <w:r w:rsidR="000233F4" w:rsidRPr="00E71CC4">
        <w:t>±</w:t>
      </w:r>
      <w:r w:rsidR="000233F4" w:rsidRPr="00E71CC4">
        <w:rPr>
          <w:lang w:val="en-US"/>
        </w:rPr>
        <w:t>SD</w:t>
      </w:r>
      <w:r w:rsidR="000233F4" w:rsidRPr="00E71CC4">
        <w:t>)</w:t>
      </w:r>
      <w:r w:rsidRPr="00E71CC4">
        <w:t>, при распределении отли</w:t>
      </w:r>
      <w:r w:rsidR="00C67B77" w:rsidRPr="00E71CC4">
        <w:t>чном от нормального</w:t>
      </w:r>
      <w:r w:rsidRPr="00E71CC4">
        <w:t xml:space="preserve"> в виде медианы и межквартильн</w:t>
      </w:r>
      <w:r w:rsidR="006C6B36" w:rsidRPr="00E71CC4">
        <w:t>ого</w:t>
      </w:r>
      <w:r w:rsidRPr="00E71CC4">
        <w:t xml:space="preserve"> размах</w:t>
      </w:r>
      <w:r w:rsidR="006C6B36" w:rsidRPr="00E71CC4">
        <w:t>а</w:t>
      </w:r>
      <w:r w:rsidR="000233F4" w:rsidRPr="00E71CC4">
        <w:t xml:space="preserve"> (</w:t>
      </w:r>
      <w:r w:rsidR="00AB5B14" w:rsidRPr="00E71CC4">
        <w:rPr>
          <w:lang w:val="en-US"/>
        </w:rPr>
        <w:t>Me</w:t>
      </w:r>
      <w:r w:rsidR="00AB5B14" w:rsidRPr="00E71CC4">
        <w:t xml:space="preserve"> [25%,75%])</w:t>
      </w:r>
      <w:r w:rsidRPr="00E71CC4">
        <w:t xml:space="preserve">. Сравнение </w:t>
      </w:r>
      <w:r w:rsidRPr="00E71CC4">
        <w:lastRenderedPageBreak/>
        <w:t xml:space="preserve">группы пациентов со </w:t>
      </w:r>
      <w:proofErr w:type="gramStart"/>
      <w:r w:rsidRPr="00E71CC4">
        <w:t>здоровыми</w:t>
      </w:r>
      <w:proofErr w:type="gramEnd"/>
      <w:r w:rsidRPr="00E71CC4">
        <w:t xml:space="preserve"> проводилось </w:t>
      </w:r>
      <w:r w:rsidR="00AB5B14" w:rsidRPr="00E71CC4">
        <w:t>по</w:t>
      </w:r>
      <w:r w:rsidRPr="00E71CC4">
        <w:t xml:space="preserve"> критери</w:t>
      </w:r>
      <w:r w:rsidR="00AB5B14" w:rsidRPr="00E71CC4">
        <w:t>ю</w:t>
      </w:r>
      <w:r w:rsidRPr="00E71CC4">
        <w:t xml:space="preserve"> Манна-Уитни</w:t>
      </w:r>
      <w:r w:rsidR="00AB5B14" w:rsidRPr="00E71CC4">
        <w:t>.</w:t>
      </w:r>
      <w:r w:rsidR="00092D8A">
        <w:t xml:space="preserve"> </w:t>
      </w:r>
      <w:r w:rsidR="003D03DD">
        <w:t xml:space="preserve">Сравнение в </w:t>
      </w:r>
      <w:r w:rsidRPr="00E71CC4">
        <w:t>групп</w:t>
      </w:r>
      <w:r w:rsidR="003D03DD">
        <w:t>ах</w:t>
      </w:r>
      <w:r w:rsidRPr="00E71CC4">
        <w:t xml:space="preserve"> до и после </w:t>
      </w:r>
      <w:r w:rsidR="003D03DD">
        <w:t>лечения</w:t>
      </w:r>
      <w:r w:rsidRPr="00E71CC4">
        <w:t xml:space="preserve"> </w:t>
      </w:r>
      <w:r w:rsidR="003D03DD" w:rsidRPr="00E71CC4">
        <w:t xml:space="preserve">проводилось по критерию </w:t>
      </w:r>
      <w:proofErr w:type="spellStart"/>
      <w:r w:rsidRPr="00E71CC4">
        <w:t>Вилкоксона</w:t>
      </w:r>
      <w:proofErr w:type="spellEnd"/>
      <w:r w:rsidRPr="00E71CC4">
        <w:t>.</w:t>
      </w:r>
      <w:r w:rsidR="00C7090C" w:rsidRPr="00E71CC4">
        <w:t xml:space="preserve"> Нулевая гипотеза отвергалась при уровне значимости </w:t>
      </w:r>
      <w:r w:rsidR="00C7090C" w:rsidRPr="00E71CC4">
        <w:rPr>
          <w:lang w:val="en-US"/>
        </w:rPr>
        <w:t>p</w:t>
      </w:r>
      <w:r w:rsidR="00C7090C" w:rsidRPr="00E71CC4">
        <w:t>≤0.05 для каждого из использованных тестов.</w:t>
      </w:r>
    </w:p>
    <w:p w:rsidR="007245CF" w:rsidRPr="00E71CC4" w:rsidRDefault="007245CF" w:rsidP="00E71CC4">
      <w:pPr>
        <w:spacing w:after="0" w:line="360" w:lineRule="auto"/>
        <w:jc w:val="both"/>
        <w:rPr>
          <w:b/>
        </w:rPr>
      </w:pPr>
    </w:p>
    <w:p w:rsidR="007245CF" w:rsidRPr="00E71CC4" w:rsidRDefault="008B63CD" w:rsidP="00E71CC4">
      <w:pPr>
        <w:spacing w:after="0" w:line="360" w:lineRule="auto"/>
        <w:jc w:val="both"/>
        <w:rPr>
          <w:b/>
        </w:rPr>
      </w:pPr>
      <w:r w:rsidRPr="00E71CC4">
        <w:rPr>
          <w:b/>
        </w:rPr>
        <w:t>Результаты.</w:t>
      </w:r>
    </w:p>
    <w:p w:rsidR="007245CF" w:rsidRPr="00E71CC4" w:rsidRDefault="007245CF" w:rsidP="00E71CC4">
      <w:pPr>
        <w:spacing w:after="0" w:line="360" w:lineRule="auto"/>
        <w:jc w:val="both"/>
        <w:rPr>
          <w:b/>
        </w:rPr>
      </w:pPr>
    </w:p>
    <w:p w:rsidR="00892C53" w:rsidRPr="00E71CC4" w:rsidRDefault="006001AB" w:rsidP="00E71CC4">
      <w:pPr>
        <w:spacing w:after="0" w:line="360" w:lineRule="auto"/>
        <w:jc w:val="both"/>
      </w:pPr>
      <w:proofErr w:type="gramStart"/>
      <w:r w:rsidRPr="00E71CC4">
        <w:t>Результаты исследования представлены в таблице 1</w:t>
      </w:r>
      <w:r w:rsidR="008F7D08" w:rsidRPr="00E71CC4">
        <w:t xml:space="preserve">, из которой </w:t>
      </w:r>
      <w:r w:rsidR="000233F4" w:rsidRPr="00E71CC4">
        <w:t>видно</w:t>
      </w:r>
      <w:r w:rsidR="008F7D08" w:rsidRPr="00E71CC4">
        <w:t>,</w:t>
      </w:r>
      <w:r w:rsidR="009042A1" w:rsidRPr="009042A1">
        <w:t xml:space="preserve"> </w:t>
      </w:r>
      <w:r w:rsidR="00C23542" w:rsidRPr="00E71CC4">
        <w:t xml:space="preserve">что </w:t>
      </w:r>
      <w:r w:rsidR="00892C53" w:rsidRPr="00E71CC4">
        <w:t>группа лиц с АГ</w:t>
      </w:r>
      <w:r w:rsidR="008F7D08" w:rsidRPr="00E71CC4">
        <w:t xml:space="preserve"> имел</w:t>
      </w:r>
      <w:r w:rsidR="00892C53" w:rsidRPr="00E71CC4">
        <w:t>а</w:t>
      </w:r>
      <w:r w:rsidR="008F7D08" w:rsidRPr="00E71CC4">
        <w:t xml:space="preserve"> выше </w:t>
      </w:r>
      <w:r w:rsidR="00892C53" w:rsidRPr="00E71CC4">
        <w:t xml:space="preserve">САД, ДАД, </w:t>
      </w:r>
      <w:r w:rsidR="008F7D08" w:rsidRPr="00E71CC4">
        <w:t>ИМТ, ОТ, ОБ, ОТ/ОБ</w:t>
      </w:r>
      <w:r w:rsidR="00C23542" w:rsidRPr="00E71CC4">
        <w:t xml:space="preserve"> по сравнению с </w:t>
      </w:r>
      <w:r w:rsidR="00892C53" w:rsidRPr="00E71CC4">
        <w:t xml:space="preserve">группой </w:t>
      </w:r>
      <w:r w:rsidR="00C23542" w:rsidRPr="00E71CC4">
        <w:t>здоровы</w:t>
      </w:r>
      <w:r w:rsidR="00892C53" w:rsidRPr="00E71CC4">
        <w:t>х</w:t>
      </w:r>
      <w:r w:rsidR="00C23542" w:rsidRPr="00E71CC4">
        <w:t xml:space="preserve"> лиц</w:t>
      </w:r>
      <w:r w:rsidR="000233F4" w:rsidRPr="00E71CC4">
        <w:t>.</w:t>
      </w:r>
      <w:proofErr w:type="gramEnd"/>
      <w:r w:rsidR="00092D8A">
        <w:t xml:space="preserve"> </w:t>
      </w:r>
      <w:r w:rsidR="00892C53" w:rsidRPr="00E71CC4">
        <w:t>Признаки абдоминального ожирения (ОТ &gt; 102</w:t>
      </w:r>
      <w:r w:rsidR="009042A1" w:rsidRPr="009042A1">
        <w:t xml:space="preserve"> </w:t>
      </w:r>
      <w:r w:rsidR="00892C53" w:rsidRPr="00E71CC4">
        <w:t>см у мужчин и &gt;</w:t>
      </w:r>
      <w:r w:rsidR="009042A1" w:rsidRPr="009042A1">
        <w:t xml:space="preserve"> </w:t>
      </w:r>
      <w:r w:rsidR="00892C53" w:rsidRPr="00E71CC4">
        <w:t>88</w:t>
      </w:r>
      <w:r w:rsidR="009042A1" w:rsidRPr="009042A1">
        <w:t xml:space="preserve"> </w:t>
      </w:r>
      <w:r w:rsidR="00892C53" w:rsidRPr="00E71CC4">
        <w:t xml:space="preserve">см у женщин) были у 87% лиц с АГ. Все обследованные имели уровень глюкозы крови, мочевины, креатинина плазмы крови в пределах нормы. Гиперурикемия (уровень мочевой кислоты &gt; 420 мкмоль/л у мужчин и &gt; 350 мкмоль/л у женщин) </w:t>
      </w:r>
      <w:proofErr w:type="gramStart"/>
      <w:r w:rsidR="00892C53" w:rsidRPr="00E71CC4">
        <w:t>выявлена</w:t>
      </w:r>
      <w:proofErr w:type="gramEnd"/>
      <w:r w:rsidR="00892C53" w:rsidRPr="00E71CC4">
        <w:t xml:space="preserve"> у 27% лиц с АГ, при этом, достоверных отличий по частоте встречаемости у мужчин (31%) и женщин (23%) не получено.</w:t>
      </w:r>
    </w:p>
    <w:p w:rsidR="00130C4F" w:rsidRPr="00E71CC4" w:rsidRDefault="00130C4F" w:rsidP="00E71CC4">
      <w:pPr>
        <w:spacing w:after="0" w:line="360" w:lineRule="auto"/>
        <w:ind w:firstLine="851"/>
        <w:jc w:val="both"/>
      </w:pPr>
    </w:p>
    <w:p w:rsidR="006001AB" w:rsidRPr="00E71CC4" w:rsidRDefault="006001AB" w:rsidP="00E71CC4">
      <w:pPr>
        <w:spacing w:after="0" w:line="360" w:lineRule="auto"/>
        <w:jc w:val="both"/>
      </w:pPr>
      <w:r w:rsidRPr="00E71CC4">
        <w:t>Таблица 1</w:t>
      </w:r>
      <w:r w:rsidR="00A9517D" w:rsidRPr="00E71CC4">
        <w:t>.</w:t>
      </w:r>
      <w:r w:rsidR="00DA18E7" w:rsidRPr="00E71CC4">
        <w:t xml:space="preserve">Антропометрические и лабораторные </w:t>
      </w:r>
      <w:r w:rsidR="00AB5B14" w:rsidRPr="00E71CC4">
        <w:t>параметры в обследованных группах лиц.</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2835"/>
        <w:gridCol w:w="2835"/>
      </w:tblGrid>
      <w:tr w:rsidR="00097BC1" w:rsidRPr="00E71CC4" w:rsidTr="002D2F34">
        <w:trPr>
          <w:trHeight w:val="571"/>
        </w:trPr>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Исследуемые параметры, ед. измерения</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Группа контроля</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Группа лиц с АГ</w:t>
            </w:r>
          </w:p>
        </w:tc>
      </w:tr>
      <w:tr w:rsidR="00097BC1" w:rsidRPr="00E71CC4" w:rsidTr="00A9517D">
        <w:trPr>
          <w:trHeight w:val="511"/>
        </w:trPr>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 xml:space="preserve">САД, </w:t>
            </w:r>
            <w:proofErr w:type="gramStart"/>
            <w:r w:rsidRPr="00E71CC4">
              <w:t>мм</w:t>
            </w:r>
            <w:proofErr w:type="gramEnd"/>
            <w:r w:rsidRPr="00E71CC4">
              <w:t xml:space="preserve"> рт. ст.</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pPr>
            <w:r w:rsidRPr="00E71CC4">
              <w:t>120[110;125]</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pPr>
            <w:r w:rsidRPr="00E71CC4">
              <w:t>130[120,140]</w:t>
            </w:r>
            <w:r w:rsidR="00D96AA5" w:rsidRPr="00E71CC4">
              <w:t>*</w:t>
            </w:r>
          </w:p>
        </w:tc>
      </w:tr>
      <w:tr w:rsidR="00097BC1" w:rsidRPr="00E71CC4" w:rsidTr="00A9517D">
        <w:trPr>
          <w:trHeight w:val="433"/>
        </w:trPr>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ДАД, мм рт. ст.</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rPr>
                <w:lang w:val="en-US"/>
              </w:rPr>
            </w:pPr>
            <w:r w:rsidRPr="00E71CC4">
              <w:rPr>
                <w:lang w:val="en-US"/>
              </w:rPr>
              <w:t>80[70;80]</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pPr>
            <w:r w:rsidRPr="00E71CC4">
              <w:rPr>
                <w:lang w:val="en-US"/>
              </w:rPr>
              <w:t>84,4±9,8</w:t>
            </w:r>
            <w:r w:rsidR="00D96AA5" w:rsidRPr="00E71CC4">
              <w:t>*</w:t>
            </w:r>
          </w:p>
        </w:tc>
      </w:tr>
      <w:tr w:rsidR="00097BC1" w:rsidRPr="00E71CC4" w:rsidTr="00A9517D">
        <w:trPr>
          <w:trHeight w:val="369"/>
        </w:trPr>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ИМТ, кг/м</w:t>
            </w:r>
            <w:proofErr w:type="gramStart"/>
            <w:r w:rsidRPr="00E71CC4">
              <w:rPr>
                <w:vertAlign w:val="superscript"/>
              </w:rPr>
              <w:t>2</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pPr>
            <w:r w:rsidRPr="00E71CC4">
              <w:t>23,1±1,7</w:t>
            </w:r>
          </w:p>
        </w:tc>
        <w:tc>
          <w:tcPr>
            <w:tcW w:w="2835" w:type="dxa"/>
            <w:tcBorders>
              <w:top w:val="single" w:sz="4" w:space="0" w:color="000000"/>
              <w:left w:val="single" w:sz="4" w:space="0" w:color="000000"/>
              <w:bottom w:val="single" w:sz="4" w:space="0" w:color="000000"/>
            </w:tcBorders>
          </w:tcPr>
          <w:p w:rsidR="00097BC1" w:rsidRPr="00E71CC4" w:rsidRDefault="007417F4" w:rsidP="00E71CC4">
            <w:pPr>
              <w:spacing w:line="360" w:lineRule="auto"/>
            </w:pPr>
            <w:r w:rsidRPr="00E71CC4">
              <w:rPr>
                <w:lang w:val="en-US"/>
              </w:rPr>
              <w:t>31,6±5,4</w:t>
            </w:r>
            <w:r w:rsidR="00D96AA5" w:rsidRPr="00E71CC4">
              <w:t>*</w:t>
            </w:r>
          </w:p>
        </w:tc>
      </w:tr>
      <w:tr w:rsidR="00097BC1" w:rsidRPr="00E71CC4" w:rsidTr="00A9517D">
        <w:trPr>
          <w:trHeight w:val="305"/>
        </w:trPr>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 xml:space="preserve">ОТ, </w:t>
            </w:r>
            <w:proofErr w:type="gramStart"/>
            <w:r w:rsidRPr="00E71CC4">
              <w:t>см</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pPr>
            <w:r w:rsidRPr="00E71CC4">
              <w:t>82,9±9,2</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pPr>
            <w:r w:rsidRPr="00E71CC4">
              <w:rPr>
                <w:lang w:val="en-US"/>
              </w:rPr>
              <w:t>106,3±11,9</w:t>
            </w:r>
            <w:r w:rsidR="00D96AA5" w:rsidRPr="00E71CC4">
              <w:t>*</w:t>
            </w:r>
          </w:p>
        </w:tc>
      </w:tr>
      <w:tr w:rsidR="00097BC1" w:rsidRPr="00E71CC4" w:rsidTr="00097BC1">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 xml:space="preserve">ОБ, </w:t>
            </w:r>
            <w:proofErr w:type="gramStart"/>
            <w:r w:rsidRPr="00E71CC4">
              <w:t>см</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rPr>
                <w:lang w:val="en-US"/>
              </w:rPr>
            </w:pPr>
            <w:r w:rsidRPr="00E71CC4">
              <w:rPr>
                <w:lang w:val="en-US"/>
              </w:rPr>
              <w:t>9</w:t>
            </w:r>
            <w:r w:rsidRPr="00E71CC4">
              <w:t>7,5±4,6</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pPr>
            <w:r w:rsidRPr="00E71CC4">
              <w:rPr>
                <w:lang w:val="en-US"/>
              </w:rPr>
              <w:t>112,1±7,9</w:t>
            </w:r>
            <w:r w:rsidR="00D96AA5" w:rsidRPr="00E71CC4">
              <w:t>*</w:t>
            </w:r>
          </w:p>
        </w:tc>
      </w:tr>
      <w:tr w:rsidR="00097BC1" w:rsidRPr="00E71CC4" w:rsidTr="00097BC1">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ОТ/ОБ</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rPr>
                <w:lang w:val="en-US"/>
              </w:rPr>
            </w:pPr>
            <w:r w:rsidRPr="00E71CC4">
              <w:rPr>
                <w:lang w:val="en-US"/>
              </w:rPr>
              <w:t>0,85</w:t>
            </w:r>
            <w:r w:rsidRPr="00E71CC4">
              <w:t>±0,07</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pPr>
            <w:r w:rsidRPr="00E71CC4">
              <w:rPr>
                <w:lang w:val="en-US"/>
              </w:rPr>
              <w:t>0,95±0,07</w:t>
            </w:r>
            <w:r w:rsidR="00D96AA5" w:rsidRPr="00E71CC4">
              <w:t>*</w:t>
            </w:r>
          </w:p>
        </w:tc>
      </w:tr>
      <w:tr w:rsidR="00097BC1" w:rsidRPr="00E71CC4" w:rsidTr="00097BC1">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jc w:val="both"/>
            </w:pPr>
            <w:r w:rsidRPr="00E71CC4">
              <w:t>Глюкоза крови, м</w:t>
            </w:r>
            <w:r w:rsidR="00A9517D" w:rsidRPr="00E71CC4">
              <w:t>моль</w:t>
            </w:r>
            <w:r w:rsidRPr="00E71CC4">
              <w:t>/л</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rPr>
                <w:lang w:val="en-US"/>
              </w:rPr>
            </w:pPr>
            <w:r w:rsidRPr="00E71CC4">
              <w:rPr>
                <w:lang w:val="en-US"/>
              </w:rPr>
              <w:t>5,</w:t>
            </w:r>
            <w:r w:rsidRPr="00E71CC4">
              <w:t>0±0,6</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rPr>
                <w:lang w:val="en-US"/>
              </w:rPr>
            </w:pPr>
            <w:r w:rsidRPr="00E71CC4">
              <w:rPr>
                <w:lang w:val="en-US"/>
              </w:rPr>
              <w:t>5,2±1,0</w:t>
            </w:r>
          </w:p>
        </w:tc>
      </w:tr>
      <w:tr w:rsidR="00097BC1" w:rsidRPr="00E71CC4" w:rsidTr="00097BC1">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A9517D" w:rsidP="00E71CC4">
            <w:pPr>
              <w:spacing w:line="360" w:lineRule="auto"/>
              <w:jc w:val="both"/>
            </w:pPr>
            <w:r w:rsidRPr="00E71CC4">
              <w:t>Мочевина, ммоль</w:t>
            </w:r>
            <w:r w:rsidR="00097BC1" w:rsidRPr="00E71CC4">
              <w:t>/л</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pPr>
            <w:r w:rsidRPr="00E71CC4">
              <w:t>5,2±1,3</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rPr>
                <w:lang w:val="en-US"/>
              </w:rPr>
            </w:pPr>
            <w:r w:rsidRPr="00E71CC4">
              <w:rPr>
                <w:lang w:val="en-US"/>
              </w:rPr>
              <w:t>5,6±1,5</w:t>
            </w:r>
          </w:p>
        </w:tc>
      </w:tr>
      <w:tr w:rsidR="00097BC1" w:rsidRPr="00E71CC4" w:rsidTr="00097BC1">
        <w:tc>
          <w:tcPr>
            <w:tcW w:w="3510" w:type="dxa"/>
            <w:tcBorders>
              <w:top w:val="single" w:sz="4" w:space="0" w:color="000000"/>
              <w:left w:val="single" w:sz="4" w:space="0" w:color="000000"/>
              <w:bottom w:val="single" w:sz="4" w:space="0" w:color="000000"/>
              <w:right w:val="single" w:sz="4" w:space="0" w:color="000000"/>
            </w:tcBorders>
          </w:tcPr>
          <w:p w:rsidR="00097BC1" w:rsidRPr="00E71CC4" w:rsidRDefault="00A9517D" w:rsidP="00E71CC4">
            <w:pPr>
              <w:spacing w:line="360" w:lineRule="auto"/>
              <w:jc w:val="both"/>
            </w:pPr>
            <w:proofErr w:type="spellStart"/>
            <w:r w:rsidRPr="00E71CC4">
              <w:t>Креатинин</w:t>
            </w:r>
            <w:proofErr w:type="spellEnd"/>
            <w:r w:rsidRPr="00E71CC4">
              <w:t xml:space="preserve">, </w:t>
            </w:r>
            <w:proofErr w:type="spellStart"/>
            <w:r w:rsidRPr="00E71CC4">
              <w:t>мкмоль</w:t>
            </w:r>
            <w:proofErr w:type="spellEnd"/>
            <w:r w:rsidR="00097BC1" w:rsidRPr="00E71CC4">
              <w:t>/л</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097BC1" w:rsidP="00E71CC4">
            <w:pPr>
              <w:spacing w:line="360" w:lineRule="auto"/>
              <w:rPr>
                <w:lang w:val="en-US"/>
              </w:rPr>
            </w:pPr>
            <w:r w:rsidRPr="00E71CC4">
              <w:t>74,5</w:t>
            </w:r>
            <w:r w:rsidRPr="00E71CC4">
              <w:rPr>
                <w:lang w:val="en-US"/>
              </w:rPr>
              <w:t>[</w:t>
            </w:r>
            <w:r w:rsidRPr="00E71CC4">
              <w:t>67;86</w:t>
            </w:r>
            <w:r w:rsidRPr="00E71CC4">
              <w:rPr>
                <w:lang w:val="en-US"/>
              </w:rPr>
              <w:t>]</w:t>
            </w:r>
          </w:p>
        </w:tc>
        <w:tc>
          <w:tcPr>
            <w:tcW w:w="2835" w:type="dxa"/>
            <w:tcBorders>
              <w:top w:val="single" w:sz="4" w:space="0" w:color="000000"/>
              <w:left w:val="single" w:sz="4" w:space="0" w:color="000000"/>
              <w:bottom w:val="single" w:sz="4" w:space="0" w:color="000000"/>
              <w:right w:val="single" w:sz="4" w:space="0" w:color="000000"/>
            </w:tcBorders>
          </w:tcPr>
          <w:p w:rsidR="00097BC1" w:rsidRPr="00E71CC4" w:rsidRDefault="007417F4" w:rsidP="00E71CC4">
            <w:pPr>
              <w:spacing w:line="360" w:lineRule="auto"/>
              <w:rPr>
                <w:lang w:val="en-US"/>
              </w:rPr>
            </w:pPr>
            <w:r w:rsidRPr="00E71CC4">
              <w:rPr>
                <w:lang w:val="en-US"/>
              </w:rPr>
              <w:t>87,4±21,0</w:t>
            </w:r>
          </w:p>
        </w:tc>
      </w:tr>
    </w:tbl>
    <w:p w:rsidR="00130C4F" w:rsidRPr="00E71CC4" w:rsidRDefault="00130C4F" w:rsidP="00E71CC4">
      <w:pPr>
        <w:spacing w:after="0" w:line="360" w:lineRule="auto"/>
        <w:jc w:val="both"/>
      </w:pPr>
    </w:p>
    <w:p w:rsidR="00130C4F" w:rsidRPr="00E71CC4" w:rsidRDefault="00D96AA5" w:rsidP="00E71CC4">
      <w:pPr>
        <w:spacing w:after="0" w:line="360" w:lineRule="auto"/>
        <w:jc w:val="both"/>
      </w:pPr>
      <w:r w:rsidRPr="00E71CC4">
        <w:t xml:space="preserve">Примечание: </w:t>
      </w:r>
    </w:p>
    <w:p w:rsidR="00D96AA5" w:rsidRPr="00E71CC4" w:rsidRDefault="00D96AA5" w:rsidP="00E71CC4">
      <w:pPr>
        <w:spacing w:after="0" w:line="360" w:lineRule="auto"/>
        <w:jc w:val="both"/>
      </w:pPr>
      <w:r w:rsidRPr="00E71CC4">
        <w:t xml:space="preserve">* - уровень значимости </w:t>
      </w:r>
      <w:proofErr w:type="gramStart"/>
      <w:r w:rsidRPr="00E71CC4">
        <w:t>р</w:t>
      </w:r>
      <w:proofErr w:type="gramEnd"/>
      <w:r w:rsidRPr="00E71CC4">
        <w:t>&lt;0,05 при сравнении с группой контроля</w:t>
      </w:r>
    </w:p>
    <w:p w:rsidR="00097BC1" w:rsidRPr="00E71CC4" w:rsidRDefault="00097BC1" w:rsidP="00E71CC4">
      <w:pPr>
        <w:spacing w:line="360" w:lineRule="auto"/>
        <w:ind w:firstLine="851"/>
        <w:jc w:val="both"/>
      </w:pPr>
    </w:p>
    <w:p w:rsidR="007B32CF" w:rsidRPr="00E71CC4" w:rsidRDefault="00101B34" w:rsidP="00E71CC4">
      <w:pPr>
        <w:spacing w:line="360" w:lineRule="auto"/>
        <w:ind w:firstLine="851"/>
        <w:jc w:val="both"/>
        <w:rPr>
          <w:noProof/>
          <w:lang w:eastAsia="ru-RU"/>
        </w:rPr>
      </w:pPr>
      <w:r w:rsidRPr="00E71CC4">
        <w:rPr>
          <w:noProof/>
          <w:lang w:eastAsia="ru-RU"/>
        </w:rPr>
        <w:lastRenderedPageBreak/>
        <w:drawing>
          <wp:inline distT="0" distB="0" distL="0" distR="0">
            <wp:extent cx="5638800" cy="263842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4762F" w:rsidRPr="00E71CC4" w:rsidRDefault="007B32CF" w:rsidP="00E71CC4">
      <w:pPr>
        <w:spacing w:line="360" w:lineRule="auto"/>
        <w:jc w:val="both"/>
      </w:pPr>
      <w:r w:rsidRPr="00E71CC4">
        <w:t xml:space="preserve">Рис. 1 </w:t>
      </w:r>
    </w:p>
    <w:p w:rsidR="007B32CF" w:rsidRPr="00E71CC4" w:rsidRDefault="0011610D" w:rsidP="00E71CC4">
      <w:pPr>
        <w:spacing w:line="360" w:lineRule="auto"/>
        <w:jc w:val="both"/>
      </w:pPr>
      <w:r w:rsidRPr="00E71CC4">
        <w:t>Частота встречаемости</w:t>
      </w:r>
      <w:r w:rsidR="001E0B33" w:rsidRPr="00E71CC4">
        <w:t xml:space="preserve"> дислипидемии в группе лиц</w:t>
      </w:r>
      <w:r w:rsidR="00A9517D" w:rsidRPr="00E71CC4">
        <w:t xml:space="preserve"> с АГ </w:t>
      </w:r>
      <w:r w:rsidR="00A9517D" w:rsidRPr="00E71CC4">
        <w:rPr>
          <w:lang w:val="en-US"/>
        </w:rPr>
        <w:t>II</w:t>
      </w:r>
      <w:r w:rsidR="00E213A7" w:rsidRPr="00E71CC4">
        <w:t xml:space="preserve"> ст</w:t>
      </w:r>
      <w:r w:rsidR="00521092" w:rsidRPr="00E71CC4">
        <w:t>епени</w:t>
      </w:r>
    </w:p>
    <w:p w:rsidR="007B32CF" w:rsidRPr="00E71CC4" w:rsidRDefault="007B32CF" w:rsidP="00E71CC4">
      <w:pPr>
        <w:spacing w:line="360" w:lineRule="auto"/>
        <w:jc w:val="both"/>
      </w:pPr>
      <w:proofErr w:type="gramStart"/>
      <w:r w:rsidRPr="00E71CC4">
        <w:t>Согласно Национальным рекомендациям [</w:t>
      </w:r>
      <w:r w:rsidR="00A500FD" w:rsidRPr="00E71CC4">
        <w:t>1</w:t>
      </w:r>
      <w:r w:rsidRPr="00E71CC4">
        <w:t>]</w:t>
      </w:r>
      <w:r w:rsidR="00092D8A">
        <w:t xml:space="preserve"> </w:t>
      </w:r>
      <w:r w:rsidRPr="00E71CC4">
        <w:t>дислипидемия расценивается как фактор риска при А</w:t>
      </w:r>
      <w:r w:rsidR="001E0B33" w:rsidRPr="00E71CC4">
        <w:t>Г при значениях ОХС более 5,0 мм</w:t>
      </w:r>
      <w:r w:rsidRPr="00E71CC4">
        <w:t>ол</w:t>
      </w:r>
      <w:r w:rsidR="001E0B33" w:rsidRPr="00E71CC4">
        <w:t>ь/л, ХС ЛПНП более 3,0 мм</w:t>
      </w:r>
      <w:r w:rsidRPr="00E71CC4">
        <w:t>оль/л, ХС ЛПВП менее 1,0 м</w:t>
      </w:r>
      <w:r w:rsidR="001E0B33" w:rsidRPr="00E71CC4">
        <w:t>м</w:t>
      </w:r>
      <w:r w:rsidRPr="00E71CC4">
        <w:t>оль/л для мужчин и менее 1,2 м</w:t>
      </w:r>
      <w:r w:rsidR="001E0B33" w:rsidRPr="00E71CC4">
        <w:t>м</w:t>
      </w:r>
      <w:r w:rsidRPr="00E71CC4">
        <w:t xml:space="preserve">оль/л у женщин и уровня ТГ более 1,7 </w:t>
      </w:r>
      <w:proofErr w:type="spellStart"/>
      <w:r w:rsidR="001E0B33" w:rsidRPr="00E71CC4">
        <w:t>мм</w:t>
      </w:r>
      <w:r w:rsidRPr="00E71CC4">
        <w:t>оль</w:t>
      </w:r>
      <w:proofErr w:type="spellEnd"/>
      <w:r w:rsidRPr="00E71CC4">
        <w:t>/л.</w:t>
      </w:r>
      <w:r w:rsidR="00092D8A">
        <w:t xml:space="preserve"> </w:t>
      </w:r>
      <w:r w:rsidRPr="00E71CC4">
        <w:t xml:space="preserve">На рис. 1 отображена </w:t>
      </w:r>
      <w:r w:rsidR="001E0B33" w:rsidRPr="00E71CC4">
        <w:t>частота встречаемости наруше</w:t>
      </w:r>
      <w:r w:rsidR="00016D46">
        <w:t>ний уровня липидов плазмы крови</w:t>
      </w:r>
      <w:r w:rsidR="001E0B33" w:rsidRPr="00E71CC4">
        <w:t>.</w:t>
      </w:r>
      <w:proofErr w:type="gramEnd"/>
      <w:r w:rsidR="001E0B33" w:rsidRPr="00E71CC4">
        <w:t xml:space="preserve"> Из представленных данных видно, что с наибольшей частотой у лиц с АГ и ожирением выявляется повышение уровня ОХС и ЛПНП, наиболее атерогенной фракци</w:t>
      </w:r>
      <w:r w:rsidR="00EC3D90" w:rsidRPr="00E71CC4">
        <w:t>и</w:t>
      </w:r>
      <w:r w:rsidR="001E0B33" w:rsidRPr="00E71CC4">
        <w:t xml:space="preserve"> липидов.</w:t>
      </w:r>
      <w:r w:rsidR="00092D8A">
        <w:t xml:space="preserve"> </w:t>
      </w:r>
      <w:r w:rsidR="00D84C6D" w:rsidRPr="00E71CC4">
        <w:t>Группе 2 с целью коррекции выявленных липидных нарушений был назначен аторвастатин («Липромак</w:t>
      </w:r>
      <w:r w:rsidR="00101B34" w:rsidRPr="00E71CC4">
        <w:t>-ЛФ</w:t>
      </w:r>
      <w:r w:rsidR="00D84C6D" w:rsidRPr="00E71CC4">
        <w:t>»).</w:t>
      </w:r>
    </w:p>
    <w:p w:rsidR="00130C4F" w:rsidRPr="00E71CC4" w:rsidRDefault="00D84C6D" w:rsidP="00E71CC4">
      <w:pPr>
        <w:spacing w:after="0" w:line="360" w:lineRule="auto"/>
        <w:jc w:val="both"/>
      </w:pPr>
      <w:r w:rsidRPr="00E71CC4">
        <w:t xml:space="preserve">Таблица 2. </w:t>
      </w:r>
    </w:p>
    <w:p w:rsidR="00D84C6D" w:rsidRPr="00E71CC4" w:rsidRDefault="00D84C6D" w:rsidP="00E71CC4">
      <w:pPr>
        <w:spacing w:after="0" w:line="360" w:lineRule="auto"/>
        <w:jc w:val="both"/>
      </w:pPr>
      <w:r w:rsidRPr="00E71CC4">
        <w:t>Показатели липидного обм</w:t>
      </w:r>
      <w:r w:rsidR="00BB4F32" w:rsidRPr="00E71CC4">
        <w:t>ена в обследованных группах лиц</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1701"/>
        <w:gridCol w:w="1417"/>
        <w:gridCol w:w="1560"/>
        <w:gridCol w:w="1701"/>
        <w:gridCol w:w="1559"/>
      </w:tblGrid>
      <w:tr w:rsidR="00D84C6D" w:rsidRPr="00E71CC4" w:rsidTr="00130C4F">
        <w:tc>
          <w:tcPr>
            <w:tcW w:w="2093"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after="0" w:line="360" w:lineRule="auto"/>
            </w:pPr>
            <w:r w:rsidRPr="00E71CC4">
              <w:t>Исследуемые параметры, ед. измерения</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Группа контроля</w:t>
            </w:r>
          </w:p>
        </w:tc>
        <w:tc>
          <w:tcPr>
            <w:tcW w:w="1417"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Группа 1 до лечения</w:t>
            </w:r>
          </w:p>
        </w:tc>
        <w:tc>
          <w:tcPr>
            <w:tcW w:w="1560"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Группа 1 после лечения</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Группа 2 до лечения</w:t>
            </w:r>
          </w:p>
        </w:tc>
        <w:tc>
          <w:tcPr>
            <w:tcW w:w="1559"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Группа 2 после лечения</w:t>
            </w:r>
          </w:p>
        </w:tc>
      </w:tr>
      <w:tr w:rsidR="00D84C6D" w:rsidRPr="00E71CC4" w:rsidTr="00130C4F">
        <w:tc>
          <w:tcPr>
            <w:tcW w:w="2093"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Кол-во пациентов</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25</w:t>
            </w:r>
          </w:p>
        </w:tc>
        <w:tc>
          <w:tcPr>
            <w:tcW w:w="1417"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22</w:t>
            </w:r>
          </w:p>
        </w:tc>
        <w:tc>
          <w:tcPr>
            <w:tcW w:w="1560"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12</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16</w:t>
            </w:r>
          </w:p>
        </w:tc>
        <w:tc>
          <w:tcPr>
            <w:tcW w:w="1559"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12</w:t>
            </w:r>
          </w:p>
        </w:tc>
      </w:tr>
      <w:tr w:rsidR="00D84C6D" w:rsidRPr="00E71CC4" w:rsidTr="00130C4F">
        <w:tc>
          <w:tcPr>
            <w:tcW w:w="2093"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Мочевая кислота, мк</w:t>
            </w:r>
            <w:r w:rsidR="009F21EE" w:rsidRPr="00E71CC4">
              <w:t>моль</w:t>
            </w:r>
            <w:r w:rsidRPr="00E71CC4">
              <w:t>/л</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283,5±82,4</w:t>
            </w:r>
          </w:p>
        </w:tc>
        <w:tc>
          <w:tcPr>
            <w:tcW w:w="1417"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327,7±92,7</w:t>
            </w:r>
          </w:p>
        </w:tc>
        <w:tc>
          <w:tcPr>
            <w:tcW w:w="1560"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310,8±84,1</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rPr>
                <w:lang w:val="en-US"/>
              </w:rPr>
            </w:pPr>
            <w:r w:rsidRPr="00E71CC4">
              <w:t>340</w:t>
            </w:r>
            <w:r w:rsidR="00EC3D90" w:rsidRPr="00E71CC4">
              <w:t xml:space="preserve"> [280;566], </w:t>
            </w:r>
            <w:r w:rsidRPr="00E71CC4">
              <w:t>p</w:t>
            </w:r>
            <w:r w:rsidRPr="00E71CC4">
              <w:rPr>
                <w:vertAlign w:val="subscript"/>
              </w:rPr>
              <w:t>1</w:t>
            </w:r>
            <w:r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294,4±101,4,      p</w:t>
            </w:r>
            <w:r w:rsidRPr="00E71CC4">
              <w:rPr>
                <w:vertAlign w:val="subscript"/>
              </w:rPr>
              <w:t>2</w:t>
            </w:r>
            <w:r w:rsidRPr="00E71CC4">
              <w:t>&lt;0,05</w:t>
            </w:r>
          </w:p>
        </w:tc>
      </w:tr>
      <w:tr w:rsidR="00D84C6D" w:rsidRPr="00E71CC4" w:rsidTr="00130C4F">
        <w:tc>
          <w:tcPr>
            <w:tcW w:w="2093"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ОХС, м</w:t>
            </w:r>
            <w:r w:rsidR="009F21EE" w:rsidRPr="00E71CC4">
              <w:t>моль</w:t>
            </w:r>
            <w:r w:rsidRPr="00E71CC4">
              <w:t xml:space="preserve">/л </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rPr>
                <w:lang w:val="en-US"/>
              </w:rPr>
            </w:pPr>
            <w:r w:rsidRPr="00E71CC4">
              <w:rPr>
                <w:lang w:val="en-US"/>
              </w:rPr>
              <w:t>5,1</w:t>
            </w:r>
            <w:r w:rsidRPr="00E71CC4">
              <w:t>±0,8</w:t>
            </w:r>
          </w:p>
        </w:tc>
        <w:tc>
          <w:tcPr>
            <w:tcW w:w="1417"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5,6±0,8</w:t>
            </w:r>
          </w:p>
        </w:tc>
        <w:tc>
          <w:tcPr>
            <w:tcW w:w="1560"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5,8±0,8</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6</w:t>
            </w:r>
            <w:r w:rsidRPr="00E71CC4">
              <w:rPr>
                <w:lang w:val="en-US"/>
              </w:rPr>
              <w:t>,</w:t>
            </w:r>
            <w:r w:rsidRPr="00E71CC4">
              <w:t>7±1,1,           p</w:t>
            </w:r>
            <w:r w:rsidRPr="00E71CC4">
              <w:rPr>
                <w:vertAlign w:val="subscript"/>
              </w:rPr>
              <w:t>1</w:t>
            </w:r>
            <w:r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rPr>
                <w:lang w:val="en-US"/>
              </w:rPr>
              <w:t>5,</w:t>
            </w:r>
            <w:r w:rsidRPr="00E71CC4">
              <w:t>7±0,7,              p</w:t>
            </w:r>
            <w:r w:rsidRPr="00E71CC4">
              <w:rPr>
                <w:vertAlign w:val="subscript"/>
              </w:rPr>
              <w:t>2</w:t>
            </w:r>
            <w:r w:rsidRPr="00E71CC4">
              <w:t>&lt;0,05</w:t>
            </w:r>
          </w:p>
        </w:tc>
      </w:tr>
      <w:tr w:rsidR="00D84C6D" w:rsidRPr="00E71CC4" w:rsidTr="00130C4F">
        <w:tc>
          <w:tcPr>
            <w:tcW w:w="2093" w:type="dxa"/>
            <w:tcBorders>
              <w:top w:val="single" w:sz="4" w:space="0" w:color="000000"/>
              <w:left w:val="single" w:sz="4" w:space="0" w:color="000000"/>
              <w:bottom w:val="single" w:sz="4" w:space="0" w:color="000000"/>
              <w:right w:val="single" w:sz="4" w:space="0" w:color="000000"/>
            </w:tcBorders>
          </w:tcPr>
          <w:p w:rsidR="00D84C6D" w:rsidRPr="00E71CC4" w:rsidRDefault="009F21EE" w:rsidP="00E71CC4">
            <w:pPr>
              <w:spacing w:line="360" w:lineRule="auto"/>
            </w:pPr>
            <w:r w:rsidRPr="00E71CC4">
              <w:lastRenderedPageBreak/>
              <w:t>ЛПВП, ммоль</w:t>
            </w:r>
            <w:r w:rsidR="00D84C6D" w:rsidRPr="00E71CC4">
              <w:t xml:space="preserve">/л </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rPr>
                <w:lang w:val="en-US"/>
              </w:rPr>
            </w:pPr>
            <w:r w:rsidRPr="00E71CC4">
              <w:rPr>
                <w:lang w:val="en-US"/>
              </w:rPr>
              <w:t>1,7</w:t>
            </w:r>
            <w:r w:rsidRPr="00E71CC4">
              <w:t>6±0,58</w:t>
            </w:r>
          </w:p>
        </w:tc>
        <w:tc>
          <w:tcPr>
            <w:tcW w:w="1417"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1,61±0,49</w:t>
            </w:r>
          </w:p>
        </w:tc>
        <w:tc>
          <w:tcPr>
            <w:tcW w:w="1560"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pPr>
            <w:r w:rsidRPr="00E71CC4">
              <w:t>1,67±0,60</w:t>
            </w:r>
          </w:p>
        </w:tc>
        <w:tc>
          <w:tcPr>
            <w:tcW w:w="1701"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rPr>
                <w:lang w:val="en-US"/>
              </w:rPr>
            </w:pPr>
            <w:r w:rsidRPr="00E71CC4">
              <w:rPr>
                <w:lang w:val="en-US"/>
              </w:rPr>
              <w:t>1,</w:t>
            </w:r>
            <w:r w:rsidRPr="00E71CC4">
              <w:t>65±0,64</w:t>
            </w:r>
          </w:p>
        </w:tc>
        <w:tc>
          <w:tcPr>
            <w:tcW w:w="1559" w:type="dxa"/>
            <w:tcBorders>
              <w:top w:val="single" w:sz="4" w:space="0" w:color="000000"/>
              <w:left w:val="single" w:sz="4" w:space="0" w:color="000000"/>
              <w:bottom w:val="single" w:sz="4" w:space="0" w:color="000000"/>
              <w:right w:val="single" w:sz="4" w:space="0" w:color="000000"/>
            </w:tcBorders>
          </w:tcPr>
          <w:p w:rsidR="00D84C6D" w:rsidRPr="00E71CC4" w:rsidRDefault="00D84C6D" w:rsidP="00E71CC4">
            <w:pPr>
              <w:spacing w:line="360" w:lineRule="auto"/>
              <w:rPr>
                <w:lang w:val="en-US"/>
              </w:rPr>
            </w:pPr>
            <w:r w:rsidRPr="00E71CC4">
              <w:rPr>
                <w:lang w:val="en-US"/>
              </w:rPr>
              <w:t>1,</w:t>
            </w:r>
            <w:r w:rsidRPr="00E71CC4">
              <w:t>70±0,60</w:t>
            </w:r>
          </w:p>
        </w:tc>
      </w:tr>
      <w:tr w:rsidR="00D84C6D" w:rsidRPr="00ED5452" w:rsidTr="00E71CC4">
        <w:trPr>
          <w:trHeight w:val="778"/>
        </w:trPr>
        <w:tc>
          <w:tcPr>
            <w:tcW w:w="2093" w:type="dxa"/>
            <w:tcBorders>
              <w:top w:val="single" w:sz="4" w:space="0" w:color="000000"/>
              <w:left w:val="single" w:sz="4" w:space="0" w:color="000000"/>
              <w:bottom w:val="single" w:sz="4" w:space="0" w:color="000000"/>
              <w:right w:val="single" w:sz="4" w:space="0" w:color="000000"/>
            </w:tcBorders>
          </w:tcPr>
          <w:p w:rsidR="00D84C6D" w:rsidRPr="00ED5452" w:rsidRDefault="009F21EE" w:rsidP="00130C4F">
            <w:pPr>
              <w:spacing w:line="240" w:lineRule="auto"/>
            </w:pPr>
            <w:r w:rsidRPr="00ED5452">
              <w:t>ЛПНП, ммоль</w:t>
            </w:r>
            <w:r w:rsidR="00D84C6D" w:rsidRPr="00ED5452">
              <w:t>/л</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lang w:val="en-US"/>
              </w:rPr>
            </w:pPr>
            <w:r w:rsidRPr="00ED5452">
              <w:t>3</w:t>
            </w:r>
            <w:r w:rsidRPr="00ED5452">
              <w:rPr>
                <w:lang w:val="en-US"/>
              </w:rPr>
              <w:t>,</w:t>
            </w:r>
            <w:r w:rsidRPr="00ED5452">
              <w:t>11±1,03</w:t>
            </w:r>
          </w:p>
        </w:tc>
        <w:tc>
          <w:tcPr>
            <w:tcW w:w="1417"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pPr>
            <w:r w:rsidRPr="00ED5452">
              <w:t>3,60±1,32</w:t>
            </w:r>
          </w:p>
        </w:tc>
        <w:tc>
          <w:tcPr>
            <w:tcW w:w="1560"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pPr>
            <w:r w:rsidRPr="00ED5452">
              <w:t>3,76±0,49</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lang w:val="en-US"/>
              </w:rPr>
            </w:pPr>
            <w:r w:rsidRPr="00ED5452">
              <w:t>4</w:t>
            </w:r>
            <w:r w:rsidRPr="00ED5452">
              <w:rPr>
                <w:lang w:val="en-US"/>
              </w:rPr>
              <w:t>,1</w:t>
            </w:r>
            <w:r w:rsidRPr="00ED5452">
              <w:t>8[3</w:t>
            </w:r>
            <w:r w:rsidRPr="00ED5452">
              <w:rPr>
                <w:lang w:val="en-US"/>
              </w:rPr>
              <w:t>,</w:t>
            </w:r>
            <w:r w:rsidRPr="00ED5452">
              <w:t>88</w:t>
            </w:r>
            <w:r w:rsidRPr="00ED5452">
              <w:rPr>
                <w:lang w:val="en-US"/>
              </w:rPr>
              <w:t>;</w:t>
            </w:r>
            <w:r w:rsidRPr="00ED5452">
              <w:t>4</w:t>
            </w:r>
            <w:r w:rsidRPr="00ED5452">
              <w:rPr>
                <w:lang w:val="en-US"/>
              </w:rPr>
              <w:t>,</w:t>
            </w:r>
            <w:r w:rsidRPr="00ED5452">
              <w:t>50]</w:t>
            </w:r>
          </w:p>
        </w:tc>
        <w:tc>
          <w:tcPr>
            <w:tcW w:w="1559"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lang w:val="en-US"/>
              </w:rPr>
            </w:pPr>
            <w:r w:rsidRPr="00ED5452">
              <w:t>4,04</w:t>
            </w:r>
            <w:r w:rsidRPr="00ED5452">
              <w:rPr>
                <w:lang w:val="en-US"/>
              </w:rPr>
              <w:t xml:space="preserve"> [3,85;4,72] </w:t>
            </w:r>
            <w:r w:rsidRPr="00ED5452">
              <w:t>p</w:t>
            </w:r>
            <w:r w:rsidRPr="00ED5452">
              <w:rPr>
                <w:vertAlign w:val="subscript"/>
              </w:rPr>
              <w:t>2</w:t>
            </w:r>
            <w:r w:rsidRPr="00ED5452">
              <w:t>&lt;0,05</w:t>
            </w:r>
          </w:p>
        </w:tc>
      </w:tr>
      <w:tr w:rsidR="00D84C6D" w:rsidRPr="00ED5452" w:rsidTr="00130C4F">
        <w:tc>
          <w:tcPr>
            <w:tcW w:w="2093" w:type="dxa"/>
            <w:tcBorders>
              <w:top w:val="single" w:sz="4" w:space="0" w:color="000000"/>
              <w:left w:val="single" w:sz="4" w:space="0" w:color="000000"/>
              <w:bottom w:val="single" w:sz="4" w:space="0" w:color="000000"/>
              <w:right w:val="single" w:sz="4" w:space="0" w:color="000000"/>
            </w:tcBorders>
          </w:tcPr>
          <w:p w:rsidR="00D84C6D" w:rsidRPr="00ED5452" w:rsidRDefault="009F21EE" w:rsidP="00130C4F">
            <w:pPr>
              <w:spacing w:line="240" w:lineRule="auto"/>
            </w:pPr>
            <w:r w:rsidRPr="00ED5452">
              <w:t>ТГ, ммоль</w:t>
            </w:r>
            <w:r w:rsidR="00D84C6D" w:rsidRPr="00ED5452">
              <w:t>/л</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lang w:val="en-US"/>
              </w:rPr>
            </w:pPr>
            <w:r w:rsidRPr="00ED5452">
              <w:rPr>
                <w:lang w:val="en-US"/>
              </w:rPr>
              <w:t>1,0</w:t>
            </w:r>
            <w:r w:rsidRPr="00ED5452">
              <w:t>9±0,70</w:t>
            </w:r>
          </w:p>
        </w:tc>
        <w:tc>
          <w:tcPr>
            <w:tcW w:w="1417"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pPr>
            <w:r w:rsidRPr="00ED5452">
              <w:t>1,07 [0,9;1,42]</w:t>
            </w:r>
          </w:p>
        </w:tc>
        <w:tc>
          <w:tcPr>
            <w:tcW w:w="1560"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pPr>
            <w:r w:rsidRPr="00ED5452">
              <w:t>1,38±0,64</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lang w:val="en-US"/>
              </w:rPr>
            </w:pPr>
            <w:r w:rsidRPr="00ED5452">
              <w:t>1</w:t>
            </w:r>
            <w:r w:rsidRPr="00ED5452">
              <w:rPr>
                <w:lang w:val="en-US"/>
              </w:rPr>
              <w:t>,</w:t>
            </w:r>
            <w:r w:rsidRPr="00ED5452">
              <w:t>59±0,50,</w:t>
            </w:r>
            <w:r w:rsidRPr="00ED5452">
              <w:rPr>
                <w:lang w:val="en-US"/>
              </w:rPr>
              <w:t>p</w:t>
            </w:r>
            <w:r w:rsidRPr="00ED5452">
              <w:rPr>
                <w:vertAlign w:val="subscript"/>
              </w:rPr>
              <w:t>1</w:t>
            </w:r>
            <w:r w:rsidRPr="00ED5452">
              <w:t>&lt;0,05</w:t>
            </w:r>
          </w:p>
        </w:tc>
        <w:tc>
          <w:tcPr>
            <w:tcW w:w="1559"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rPr>
                <w:highlight w:val="yellow"/>
              </w:rPr>
            </w:pPr>
            <w:r w:rsidRPr="00ED5452">
              <w:t>1</w:t>
            </w:r>
            <w:r w:rsidRPr="00ED5452">
              <w:rPr>
                <w:lang w:val="en-US"/>
              </w:rPr>
              <w:t>,</w:t>
            </w:r>
            <w:r w:rsidRPr="00ED5452">
              <w:t>56[1</w:t>
            </w:r>
            <w:r w:rsidRPr="00ED5452">
              <w:rPr>
                <w:lang w:val="en-US"/>
              </w:rPr>
              <w:t>,</w:t>
            </w:r>
            <w:r w:rsidRPr="00ED5452">
              <w:t>07</w:t>
            </w:r>
            <w:r w:rsidRPr="00ED5452">
              <w:rPr>
                <w:lang w:val="en-US"/>
              </w:rPr>
              <w:t>;</w:t>
            </w:r>
            <w:r w:rsidRPr="00ED5452">
              <w:t>2,50]</w:t>
            </w:r>
          </w:p>
        </w:tc>
      </w:tr>
      <w:tr w:rsidR="00D84C6D" w:rsidRPr="00ED5452" w:rsidTr="00130C4F">
        <w:tc>
          <w:tcPr>
            <w:tcW w:w="2093" w:type="dxa"/>
            <w:tcBorders>
              <w:top w:val="single" w:sz="4" w:space="0" w:color="000000"/>
              <w:left w:val="single" w:sz="4" w:space="0" w:color="000000"/>
              <w:bottom w:val="single" w:sz="4" w:space="0" w:color="000000"/>
              <w:right w:val="single" w:sz="4" w:space="0" w:color="000000"/>
            </w:tcBorders>
          </w:tcPr>
          <w:p w:rsidR="00D84C6D" w:rsidRPr="00ED5452" w:rsidRDefault="00D84C6D" w:rsidP="00130C4F">
            <w:pPr>
              <w:spacing w:line="240" w:lineRule="auto"/>
            </w:pPr>
            <w:r w:rsidRPr="00ED5452">
              <w:t>КА</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3B5D57" w:rsidP="00130C4F">
            <w:pPr>
              <w:spacing w:line="240" w:lineRule="auto"/>
              <w:rPr>
                <w:lang w:val="en-US"/>
              </w:rPr>
            </w:pPr>
            <w:r w:rsidRPr="00ED5452">
              <w:rPr>
                <w:lang w:val="en-US"/>
              </w:rPr>
              <w:t>1,77[1,55;2,4]</w:t>
            </w:r>
          </w:p>
        </w:tc>
        <w:tc>
          <w:tcPr>
            <w:tcW w:w="1417" w:type="dxa"/>
            <w:tcBorders>
              <w:top w:val="single" w:sz="4" w:space="0" w:color="000000"/>
              <w:left w:val="single" w:sz="4" w:space="0" w:color="000000"/>
              <w:bottom w:val="single" w:sz="4" w:space="0" w:color="000000"/>
              <w:right w:val="single" w:sz="4" w:space="0" w:color="000000"/>
            </w:tcBorders>
          </w:tcPr>
          <w:p w:rsidR="00D84C6D" w:rsidRPr="00ED5452" w:rsidRDefault="003B5D57" w:rsidP="00130C4F">
            <w:pPr>
              <w:spacing w:line="240" w:lineRule="auto"/>
              <w:rPr>
                <w:lang w:val="en-US"/>
              </w:rPr>
            </w:pPr>
            <w:r w:rsidRPr="00ED5452">
              <w:rPr>
                <w:lang w:val="en-US"/>
              </w:rPr>
              <w:t>2,48 [1,85;3,09]</w:t>
            </w:r>
          </w:p>
        </w:tc>
        <w:tc>
          <w:tcPr>
            <w:tcW w:w="1560" w:type="dxa"/>
            <w:tcBorders>
              <w:top w:val="single" w:sz="4" w:space="0" w:color="000000"/>
              <w:left w:val="single" w:sz="4" w:space="0" w:color="000000"/>
              <w:bottom w:val="single" w:sz="4" w:space="0" w:color="000000"/>
              <w:right w:val="single" w:sz="4" w:space="0" w:color="000000"/>
            </w:tcBorders>
          </w:tcPr>
          <w:p w:rsidR="00D84C6D" w:rsidRPr="00ED5452" w:rsidRDefault="003B5D57" w:rsidP="00130C4F">
            <w:pPr>
              <w:spacing w:line="240" w:lineRule="auto"/>
              <w:rPr>
                <w:lang w:val="en-US"/>
              </w:rPr>
            </w:pPr>
            <w:r w:rsidRPr="00ED5452">
              <w:rPr>
                <w:lang w:val="en-US"/>
              </w:rPr>
              <w:t>2,77±1,12</w:t>
            </w:r>
          </w:p>
        </w:tc>
        <w:tc>
          <w:tcPr>
            <w:tcW w:w="1701" w:type="dxa"/>
            <w:tcBorders>
              <w:top w:val="single" w:sz="4" w:space="0" w:color="000000"/>
              <w:left w:val="single" w:sz="4" w:space="0" w:color="000000"/>
              <w:bottom w:val="single" w:sz="4" w:space="0" w:color="000000"/>
              <w:right w:val="single" w:sz="4" w:space="0" w:color="000000"/>
            </w:tcBorders>
          </w:tcPr>
          <w:p w:rsidR="00D84C6D" w:rsidRPr="00ED5452" w:rsidRDefault="003B5D57" w:rsidP="00130C4F">
            <w:pPr>
              <w:spacing w:line="240" w:lineRule="auto"/>
              <w:rPr>
                <w:lang w:val="en-US"/>
              </w:rPr>
            </w:pPr>
            <w:r w:rsidRPr="00ED5452">
              <w:rPr>
                <w:lang w:val="en-US"/>
              </w:rPr>
              <w:t>2,96±1,23; p</w:t>
            </w:r>
            <w:r w:rsidRPr="00ED5452">
              <w:rPr>
                <w:vertAlign w:val="subscript"/>
                <w:lang w:val="en-US"/>
              </w:rPr>
              <w:t>1</w:t>
            </w:r>
            <w:r w:rsidRPr="00ED5452">
              <w:rPr>
                <w:lang w:val="en-US"/>
              </w:rPr>
              <w:t>&lt;0,05</w:t>
            </w:r>
          </w:p>
        </w:tc>
        <w:tc>
          <w:tcPr>
            <w:tcW w:w="1559" w:type="dxa"/>
            <w:tcBorders>
              <w:top w:val="single" w:sz="4" w:space="0" w:color="000000"/>
              <w:left w:val="single" w:sz="4" w:space="0" w:color="000000"/>
              <w:bottom w:val="single" w:sz="4" w:space="0" w:color="000000"/>
              <w:right w:val="single" w:sz="4" w:space="0" w:color="000000"/>
            </w:tcBorders>
          </w:tcPr>
          <w:p w:rsidR="00D84C6D" w:rsidRPr="00ED5452" w:rsidRDefault="003B5D57" w:rsidP="00130C4F">
            <w:pPr>
              <w:spacing w:line="240" w:lineRule="auto"/>
              <w:rPr>
                <w:lang w:val="en-US"/>
              </w:rPr>
            </w:pPr>
            <w:r w:rsidRPr="00ED5452">
              <w:rPr>
                <w:lang w:val="en-US"/>
              </w:rPr>
              <w:t>2,71±1,19</w:t>
            </w:r>
          </w:p>
        </w:tc>
      </w:tr>
    </w:tbl>
    <w:p w:rsidR="00130C4F" w:rsidRDefault="00D84C6D" w:rsidP="00130C4F">
      <w:pPr>
        <w:spacing w:after="0" w:line="240" w:lineRule="auto"/>
        <w:jc w:val="both"/>
      </w:pPr>
      <w:r w:rsidRPr="00ED5452">
        <w:t>Примечание:</w:t>
      </w:r>
    </w:p>
    <w:p w:rsidR="00130C4F" w:rsidRDefault="003B5D57" w:rsidP="00130C4F">
      <w:pPr>
        <w:spacing w:after="0" w:line="240" w:lineRule="auto"/>
        <w:jc w:val="both"/>
      </w:pPr>
      <w:r w:rsidRPr="00ED5452">
        <w:t>p</w:t>
      </w:r>
      <w:r w:rsidRPr="00ED5452">
        <w:rPr>
          <w:vertAlign w:val="subscript"/>
        </w:rPr>
        <w:t>1</w:t>
      </w:r>
      <w:r w:rsidRPr="00ED5452">
        <w:t xml:space="preserve"> – уровень различия показателей группы пацие</w:t>
      </w:r>
      <w:r w:rsidR="00ED5452">
        <w:t>нтов от группы</w:t>
      </w:r>
      <w:r w:rsidR="00130C4F">
        <w:t xml:space="preserve"> контроля,</w:t>
      </w:r>
    </w:p>
    <w:p w:rsidR="00D84C6D" w:rsidRDefault="00D84C6D" w:rsidP="00130C4F">
      <w:pPr>
        <w:spacing w:after="0" w:line="240" w:lineRule="auto"/>
        <w:jc w:val="both"/>
      </w:pPr>
      <w:r w:rsidRPr="00ED5452">
        <w:t>p</w:t>
      </w:r>
      <w:r w:rsidRPr="00ED5452">
        <w:rPr>
          <w:vertAlign w:val="subscript"/>
        </w:rPr>
        <w:t>2</w:t>
      </w:r>
      <w:r w:rsidRPr="00ED5452">
        <w:t xml:space="preserve"> – уровень различия показателей в</w:t>
      </w:r>
      <w:r w:rsidR="00E213A7" w:rsidRPr="00ED5452">
        <w:t xml:space="preserve"> группе пациентов после лечения</w:t>
      </w:r>
    </w:p>
    <w:p w:rsidR="00130C4F" w:rsidRPr="00ED5452" w:rsidRDefault="00130C4F" w:rsidP="00130C4F">
      <w:pPr>
        <w:spacing w:after="0" w:line="240" w:lineRule="auto"/>
        <w:jc w:val="both"/>
      </w:pPr>
    </w:p>
    <w:p w:rsidR="00EC3D90" w:rsidRPr="00ED5452" w:rsidRDefault="00EC3D90" w:rsidP="00130C4F">
      <w:pPr>
        <w:spacing w:after="0" w:line="360" w:lineRule="auto"/>
        <w:ind w:firstLine="851"/>
        <w:jc w:val="both"/>
        <w:rPr>
          <w:lang w:val="en-US"/>
        </w:rPr>
      </w:pPr>
      <w:r w:rsidRPr="00ED5452">
        <w:object w:dxaOrig="4705" w:dyaOrig="3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73.25pt" o:ole="">
            <v:imagedata r:id="rId7" o:title=""/>
          </v:shape>
          <o:OLEObject Type="Embed" ProgID="STATISTICA.Graph" ShapeID="_x0000_i1025" DrawAspect="Content" ObjectID="_1451206449" r:id="rId8">
            <o:FieldCodes>\s</o:FieldCodes>
          </o:OLEObject>
        </w:object>
      </w:r>
    </w:p>
    <w:p w:rsidR="00BB4F32" w:rsidRPr="00BB4F32" w:rsidRDefault="00BB4F32" w:rsidP="00A500FD">
      <w:pPr>
        <w:spacing w:after="0" w:line="360" w:lineRule="auto"/>
        <w:jc w:val="both"/>
      </w:pPr>
      <w:r>
        <w:t>Рис. 2</w:t>
      </w:r>
    </w:p>
    <w:p w:rsidR="00EC3D90" w:rsidRDefault="00EC3D90" w:rsidP="00A500FD">
      <w:pPr>
        <w:spacing w:after="0" w:line="360" w:lineRule="auto"/>
        <w:jc w:val="both"/>
      </w:pPr>
      <w:r w:rsidRPr="00ED5452">
        <w:t>Показатели ЛПНП в группе,</w:t>
      </w:r>
      <w:r w:rsidR="00BB4F32">
        <w:t xml:space="preserve"> принимавшей «Липромак-ЛФ»</w:t>
      </w:r>
    </w:p>
    <w:p w:rsidR="00E71CC4" w:rsidRPr="00BB4F32" w:rsidRDefault="00E71CC4" w:rsidP="00A500FD">
      <w:pPr>
        <w:spacing w:after="0" w:line="360" w:lineRule="auto"/>
        <w:jc w:val="both"/>
      </w:pPr>
    </w:p>
    <w:p w:rsidR="00EC3D90" w:rsidRPr="00ED5452" w:rsidRDefault="00EC3D90" w:rsidP="007245CF">
      <w:pPr>
        <w:spacing w:line="360" w:lineRule="auto"/>
        <w:jc w:val="both"/>
      </w:pPr>
      <w:r w:rsidRPr="00ED5452">
        <w:t>Как следует из представленных данных, в группе</w:t>
      </w:r>
      <w:r w:rsidR="00664701">
        <w:t xml:space="preserve"> 2</w:t>
      </w:r>
      <w:r w:rsidRPr="00ED5452">
        <w:t xml:space="preserve"> уровень ОХС и ЛПНП достоверно (p&lt;0,05) сн</w:t>
      </w:r>
      <w:r w:rsidR="00664701">
        <w:t>изился, как представлено в таблице</w:t>
      </w:r>
      <w:r w:rsidRPr="00ED5452">
        <w:t xml:space="preserve"> 2 и на рис.2. Достижение целевых уровней липидов </w:t>
      </w:r>
      <w:r w:rsidR="00414854">
        <w:t xml:space="preserve">через три месяца терапии </w:t>
      </w:r>
      <w:proofErr w:type="spellStart"/>
      <w:r w:rsidR="00414854">
        <w:t>аторв</w:t>
      </w:r>
      <w:r w:rsidR="00414854" w:rsidRPr="00414854">
        <w:t>а</w:t>
      </w:r>
      <w:r w:rsidR="0011610D">
        <w:t>статином</w:t>
      </w:r>
      <w:proofErr w:type="spellEnd"/>
      <w:r w:rsidR="00664701">
        <w:t xml:space="preserve"> («</w:t>
      </w:r>
      <w:proofErr w:type="spellStart"/>
      <w:r w:rsidR="00664701">
        <w:t>Липромак-ЛФ</w:t>
      </w:r>
      <w:proofErr w:type="spellEnd"/>
      <w:r w:rsidR="00664701">
        <w:t>»)</w:t>
      </w:r>
      <w:r w:rsidR="0011610D">
        <w:t xml:space="preserve"> в дозе 20 мг в сутки </w:t>
      </w:r>
      <w:r w:rsidRPr="00ED5452">
        <w:t xml:space="preserve">произошло у 25% пациентов. Кроме того, в </w:t>
      </w:r>
      <w:r w:rsidR="00664701">
        <w:t xml:space="preserve">этой группе </w:t>
      </w:r>
      <w:r w:rsidRPr="00ED5452">
        <w:t xml:space="preserve">произошло достоверное снижение уровня мочевой кислоты и у 89% </w:t>
      </w:r>
      <w:proofErr w:type="gramStart"/>
      <w:r w:rsidRPr="00ED5452">
        <w:t>обследованных</w:t>
      </w:r>
      <w:proofErr w:type="gramEnd"/>
      <w:r w:rsidRPr="00ED5452">
        <w:t xml:space="preserve"> её уровень соответствовал референтной норме.</w:t>
      </w:r>
    </w:p>
    <w:p w:rsidR="00EC3D90" w:rsidRPr="00ED5452" w:rsidRDefault="00EC3D90" w:rsidP="007245CF">
      <w:pPr>
        <w:spacing w:line="360" w:lineRule="auto"/>
        <w:jc w:val="both"/>
      </w:pPr>
      <w:r w:rsidRPr="00ED5452">
        <w:t xml:space="preserve">Данные метаанализа 13 РКИ статинов </w:t>
      </w:r>
      <w:r w:rsidRPr="00A500FD">
        <w:t>[</w:t>
      </w:r>
      <w:r w:rsidR="00A500FD" w:rsidRPr="00A500FD">
        <w:t>5</w:t>
      </w:r>
      <w:r w:rsidRPr="00A500FD">
        <w:t>]</w:t>
      </w:r>
      <w:r w:rsidRPr="00ED5452">
        <w:t xml:space="preserve"> указывают на увеличение риска развития СД 2 типа и повышение инсулинорезистентности при терапии статинами, в частности аторвастатином </w:t>
      </w:r>
      <w:r w:rsidRPr="00A500FD">
        <w:t>[</w:t>
      </w:r>
      <w:r w:rsidR="00A500FD" w:rsidRPr="00A500FD">
        <w:t>6</w:t>
      </w:r>
      <w:r w:rsidRPr="00A500FD">
        <w:t>].</w:t>
      </w:r>
      <w:r w:rsidRPr="00ED5452">
        <w:t xml:space="preserve"> Нами не получено изменения уровня глюкозы </w:t>
      </w:r>
      <w:proofErr w:type="gramStart"/>
      <w:r w:rsidRPr="00ED5452">
        <w:t>крови</w:t>
      </w:r>
      <w:proofErr w:type="gramEnd"/>
      <w:r w:rsidRPr="00ED5452">
        <w:t xml:space="preserve"> в группе принимавшей «Липромак-ЛФ» в дозе 20 мг/</w:t>
      </w:r>
      <w:proofErr w:type="spellStart"/>
      <w:r w:rsidRPr="00ED5452">
        <w:t>сут</w:t>
      </w:r>
      <w:proofErr w:type="spellEnd"/>
      <w:r w:rsidRPr="00ED5452">
        <w:t xml:space="preserve"> на протяжении 3-х месяцев.</w:t>
      </w:r>
    </w:p>
    <w:p w:rsidR="00130C4F" w:rsidRDefault="00216955" w:rsidP="00130C4F">
      <w:pPr>
        <w:spacing w:after="0" w:line="240" w:lineRule="auto"/>
        <w:jc w:val="both"/>
      </w:pPr>
      <w:r w:rsidRPr="00ED5452">
        <w:t xml:space="preserve">Таблица </w:t>
      </w:r>
      <w:r w:rsidR="00987F65" w:rsidRPr="00ED5452">
        <w:t>3</w:t>
      </w:r>
    </w:p>
    <w:p w:rsidR="00216955" w:rsidRPr="00ED5452" w:rsidRDefault="00112464" w:rsidP="00130C4F">
      <w:pPr>
        <w:spacing w:after="0" w:line="240" w:lineRule="auto"/>
        <w:jc w:val="both"/>
      </w:pPr>
      <w:r w:rsidRPr="00ED5452">
        <w:t xml:space="preserve">Данные инструментальных методов </w:t>
      </w:r>
      <w:r w:rsidR="00D81220" w:rsidRPr="00ED5452">
        <w:t>ис</w:t>
      </w:r>
      <w:r w:rsidRPr="00ED5452">
        <w:t>следования</w:t>
      </w:r>
      <w:r w:rsidR="00D81220" w:rsidRPr="00ED5452">
        <w:t xml:space="preserve"> в обследованных группах</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559"/>
        <w:gridCol w:w="1701"/>
        <w:gridCol w:w="1701"/>
        <w:gridCol w:w="1560"/>
        <w:gridCol w:w="1559"/>
      </w:tblGrid>
      <w:tr w:rsidR="00216955" w:rsidRPr="00E71CC4" w:rsidTr="00130C4F">
        <w:trPr>
          <w:trHeight w:val="784"/>
        </w:trPr>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lastRenderedPageBreak/>
              <w:t>Исследуемые параметры</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Группа контроля</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Группа 1 до лечения</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Группа 1 после лечения</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Группа 2 до лечения</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Группа 2 после лечения</w:t>
            </w:r>
          </w:p>
        </w:tc>
      </w:tr>
      <w:tr w:rsidR="00837DE2" w:rsidRPr="00E71CC4" w:rsidTr="00130C4F">
        <w:tc>
          <w:tcPr>
            <w:tcW w:w="1951" w:type="dxa"/>
            <w:tcBorders>
              <w:top w:val="single" w:sz="4" w:space="0" w:color="000000"/>
              <w:left w:val="single" w:sz="4" w:space="0" w:color="000000"/>
              <w:bottom w:val="single" w:sz="4" w:space="0" w:color="000000"/>
              <w:right w:val="single" w:sz="4" w:space="0" w:color="000000"/>
            </w:tcBorders>
          </w:tcPr>
          <w:p w:rsidR="00837DE2" w:rsidRPr="00E71CC4" w:rsidRDefault="00837DE2" w:rsidP="00130C4F">
            <w:pPr>
              <w:spacing w:after="0" w:line="240" w:lineRule="auto"/>
              <w:jc w:val="both"/>
            </w:pPr>
            <w:r w:rsidRPr="00E71CC4">
              <w:t>ЭЗВД, %</w:t>
            </w:r>
          </w:p>
        </w:tc>
        <w:tc>
          <w:tcPr>
            <w:tcW w:w="1559" w:type="dxa"/>
            <w:tcBorders>
              <w:top w:val="single" w:sz="4" w:space="0" w:color="000000"/>
              <w:left w:val="single" w:sz="4" w:space="0" w:color="000000"/>
              <w:bottom w:val="single" w:sz="4" w:space="0" w:color="000000"/>
              <w:right w:val="single" w:sz="4" w:space="0" w:color="000000"/>
            </w:tcBorders>
          </w:tcPr>
          <w:p w:rsidR="00837DE2" w:rsidRPr="00E71CC4" w:rsidRDefault="00BB4F32" w:rsidP="00130C4F">
            <w:pPr>
              <w:spacing w:after="0" w:line="240" w:lineRule="auto"/>
            </w:pPr>
            <w:r w:rsidRPr="00E71CC4">
              <w:rPr>
                <w:lang w:val="en-US"/>
              </w:rPr>
              <w:t xml:space="preserve">21,8 </w:t>
            </w:r>
            <w:r w:rsidR="00837DE2" w:rsidRPr="00E71CC4">
              <w:rPr>
                <w:lang w:val="en-US"/>
              </w:rPr>
              <w:t>[4,7;47,4]</w:t>
            </w:r>
          </w:p>
        </w:tc>
        <w:tc>
          <w:tcPr>
            <w:tcW w:w="1701" w:type="dxa"/>
            <w:tcBorders>
              <w:top w:val="single" w:sz="4" w:space="0" w:color="000000"/>
              <w:left w:val="single" w:sz="4" w:space="0" w:color="000000"/>
              <w:bottom w:val="single" w:sz="4" w:space="0" w:color="000000"/>
              <w:right w:val="single" w:sz="4" w:space="0" w:color="000000"/>
            </w:tcBorders>
          </w:tcPr>
          <w:p w:rsidR="00837DE2" w:rsidRPr="00E71CC4" w:rsidRDefault="00837DE2" w:rsidP="00130C4F">
            <w:pPr>
              <w:spacing w:after="0" w:line="240" w:lineRule="auto"/>
            </w:pPr>
            <w:r w:rsidRPr="00E71CC4">
              <w:rPr>
                <w:lang w:val="en-US"/>
              </w:rPr>
              <w:t>15,7 [1,9;27,1]</w:t>
            </w:r>
          </w:p>
        </w:tc>
        <w:tc>
          <w:tcPr>
            <w:tcW w:w="1701" w:type="dxa"/>
            <w:tcBorders>
              <w:top w:val="single" w:sz="4" w:space="0" w:color="000000"/>
              <w:left w:val="single" w:sz="4" w:space="0" w:color="000000"/>
              <w:bottom w:val="single" w:sz="4" w:space="0" w:color="000000"/>
              <w:right w:val="single" w:sz="4" w:space="0" w:color="000000"/>
            </w:tcBorders>
          </w:tcPr>
          <w:p w:rsidR="00837DE2" w:rsidRPr="00E71CC4" w:rsidRDefault="00837DE2" w:rsidP="00130C4F">
            <w:pPr>
              <w:spacing w:after="0" w:line="240" w:lineRule="auto"/>
            </w:pPr>
            <w:r w:rsidRPr="00E71CC4">
              <w:rPr>
                <w:lang w:val="en-US"/>
              </w:rPr>
              <w:t>27,7 [18,5;38,1]</w:t>
            </w:r>
          </w:p>
        </w:tc>
        <w:tc>
          <w:tcPr>
            <w:tcW w:w="1560" w:type="dxa"/>
            <w:tcBorders>
              <w:top w:val="single" w:sz="4" w:space="0" w:color="000000"/>
              <w:left w:val="single" w:sz="4" w:space="0" w:color="000000"/>
              <w:bottom w:val="single" w:sz="4" w:space="0" w:color="000000"/>
              <w:right w:val="single" w:sz="4" w:space="0" w:color="000000"/>
            </w:tcBorders>
          </w:tcPr>
          <w:p w:rsidR="00837DE2" w:rsidRPr="00E71CC4" w:rsidRDefault="00837DE2" w:rsidP="00130C4F">
            <w:pPr>
              <w:spacing w:after="0" w:line="240" w:lineRule="auto"/>
            </w:pPr>
            <w:r w:rsidRPr="00E71CC4">
              <w:rPr>
                <w:lang w:val="en-US"/>
              </w:rPr>
              <w:t>-12,1    [-31,2;13,6]</w:t>
            </w:r>
            <w:r w:rsidR="00CD30EB" w:rsidRPr="00E71CC4">
              <w:t>, p</w:t>
            </w:r>
            <w:r w:rsidR="00CD30EB" w:rsidRPr="00E71CC4">
              <w:rPr>
                <w:vertAlign w:val="subscript"/>
              </w:rPr>
              <w:t>1</w:t>
            </w:r>
            <w:r w:rsidR="00CD30EB"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837DE2" w:rsidRPr="00E71CC4" w:rsidRDefault="00837DE2" w:rsidP="00130C4F">
            <w:pPr>
              <w:spacing w:after="0" w:line="240" w:lineRule="auto"/>
              <w:rPr>
                <w:lang w:val="en-US"/>
              </w:rPr>
            </w:pPr>
            <w:r w:rsidRPr="00E71CC4">
              <w:rPr>
                <w:lang w:val="en-US"/>
              </w:rPr>
              <w:t>18,6[7,7;33,8]</w:t>
            </w:r>
          </w:p>
        </w:tc>
      </w:tr>
      <w:tr w:rsidR="00216955" w:rsidRPr="00E71CC4" w:rsidTr="00130C4F">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ЧСС, уд/мин</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pPr>
            <w:r w:rsidRPr="00E71CC4">
              <w:t>6</w:t>
            </w:r>
            <w:r w:rsidR="007F747F" w:rsidRPr="00E71CC4">
              <w:rPr>
                <w:lang w:val="en-US"/>
              </w:rPr>
              <w:t>5</w:t>
            </w:r>
            <w:r w:rsidRPr="00E71CC4">
              <w:t>[63</w:t>
            </w:r>
            <w:r w:rsidRPr="00E71CC4">
              <w:rPr>
                <w:lang w:val="en-US"/>
              </w:rPr>
              <w:t>;</w:t>
            </w:r>
            <w:r w:rsidRPr="00E71CC4">
              <w:t>75]</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6</w:t>
            </w:r>
            <w:r w:rsidR="007F747F" w:rsidRPr="00E71CC4">
              <w:rPr>
                <w:lang w:val="en-US"/>
              </w:rPr>
              <w:t>9</w:t>
            </w:r>
            <w:r w:rsidRPr="00E71CC4">
              <w:t>,</w:t>
            </w:r>
            <w:r w:rsidR="007F747F" w:rsidRPr="00E71CC4">
              <w:rPr>
                <w:lang w:val="en-US"/>
              </w:rPr>
              <w:t>1</w:t>
            </w:r>
            <w:r w:rsidRPr="00E71CC4">
              <w:t>±11,</w:t>
            </w:r>
            <w:r w:rsidR="007F747F" w:rsidRPr="00E71CC4">
              <w:rPr>
                <w:lang w:val="en-US"/>
              </w:rPr>
              <w:t>1</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t>6</w:t>
            </w:r>
            <w:r w:rsidRPr="00E71CC4">
              <w:rPr>
                <w:lang w:val="en-US"/>
              </w:rPr>
              <w:t>9</w:t>
            </w:r>
            <w:r w:rsidR="00216955" w:rsidRPr="00E71CC4">
              <w:t>,</w:t>
            </w:r>
            <w:r w:rsidRPr="00E71CC4">
              <w:rPr>
                <w:lang w:val="en-US"/>
              </w:rPr>
              <w:t>9</w:t>
            </w:r>
            <w:r w:rsidRPr="00E71CC4">
              <w:t>±</w:t>
            </w:r>
            <w:r w:rsidRPr="00E71CC4">
              <w:rPr>
                <w:lang w:val="en-US"/>
              </w:rPr>
              <w:t>7</w:t>
            </w:r>
            <w:r w:rsidR="00216955" w:rsidRPr="00E71CC4">
              <w:t>,</w:t>
            </w:r>
            <w:r w:rsidRPr="00E71CC4">
              <w:rPr>
                <w:lang w:val="en-US"/>
              </w:rPr>
              <w:t>6</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72</w:t>
            </w:r>
            <w:r w:rsidR="00216955" w:rsidRPr="00E71CC4">
              <w:t>,</w:t>
            </w:r>
            <w:r w:rsidRPr="00E71CC4">
              <w:rPr>
                <w:lang w:val="en-US"/>
              </w:rPr>
              <w:t>0</w:t>
            </w:r>
            <w:r w:rsidR="00216955" w:rsidRPr="00E71CC4">
              <w:t>±1</w:t>
            </w:r>
            <w:r w:rsidRPr="00E71CC4">
              <w:rPr>
                <w:lang w:val="en-US"/>
              </w:rPr>
              <w:t>3</w:t>
            </w:r>
            <w:r w:rsidR="00216955" w:rsidRPr="00E71CC4">
              <w:t>,</w:t>
            </w:r>
            <w:r w:rsidRPr="00E71CC4">
              <w:rPr>
                <w:lang w:val="en-US"/>
              </w:rPr>
              <w:t>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6</w:t>
            </w:r>
            <w:r w:rsidR="007F747F" w:rsidRPr="00E71CC4">
              <w:rPr>
                <w:lang w:val="en-US"/>
              </w:rPr>
              <w:t>4</w:t>
            </w:r>
            <w:r w:rsidRPr="00E71CC4">
              <w:t>,</w:t>
            </w:r>
            <w:r w:rsidR="007F747F" w:rsidRPr="00E71CC4">
              <w:rPr>
                <w:lang w:val="en-US"/>
              </w:rPr>
              <w:t>4</w:t>
            </w:r>
            <w:r w:rsidRPr="00E71CC4">
              <w:t>±</w:t>
            </w:r>
            <w:r w:rsidR="007F747F" w:rsidRPr="00E71CC4">
              <w:rPr>
                <w:lang w:val="en-US"/>
              </w:rPr>
              <w:t>5</w:t>
            </w:r>
            <w:r w:rsidRPr="00E71CC4">
              <w:t>,</w:t>
            </w:r>
            <w:r w:rsidR="007F747F" w:rsidRPr="00E71CC4">
              <w:rPr>
                <w:lang w:val="en-US"/>
              </w:rPr>
              <w:t>9</w:t>
            </w:r>
          </w:p>
        </w:tc>
      </w:tr>
      <w:tr w:rsidR="00216955" w:rsidRPr="00E71CC4" w:rsidTr="00130C4F">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УО, мл</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pPr>
            <w:r w:rsidRPr="00E71CC4">
              <w:rPr>
                <w:lang w:val="en-US"/>
              </w:rPr>
              <w:t>116</w:t>
            </w:r>
            <w:r w:rsidR="00216955" w:rsidRPr="00E71CC4">
              <w:t>,4</w:t>
            </w:r>
            <w:r w:rsidRPr="00E71CC4">
              <w:t>±</w:t>
            </w:r>
            <w:r w:rsidRPr="00E71CC4">
              <w:rPr>
                <w:lang w:val="en-US"/>
              </w:rPr>
              <w:t>45,8</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87,5</w:t>
            </w:r>
            <w:r w:rsidR="00216955" w:rsidRPr="00E71CC4">
              <w:t>±</w:t>
            </w:r>
            <w:r w:rsidRPr="00E71CC4">
              <w:rPr>
                <w:lang w:val="en-US"/>
              </w:rPr>
              <w:t>49</w:t>
            </w:r>
            <w:r w:rsidR="00216955" w:rsidRPr="00E71CC4">
              <w:t>,</w:t>
            </w:r>
            <w:r w:rsidRPr="00E71CC4">
              <w:rPr>
                <w:lang w:val="en-US"/>
              </w:rPr>
              <w:t>2</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80</w:t>
            </w:r>
            <w:r w:rsidR="00216955" w:rsidRPr="00E71CC4">
              <w:t>,</w:t>
            </w:r>
            <w:r w:rsidRPr="00E71CC4">
              <w:rPr>
                <w:lang w:val="en-US"/>
              </w:rPr>
              <w:t>6</w:t>
            </w:r>
            <w:r w:rsidR="00216955" w:rsidRPr="00E71CC4">
              <w:t>±</w:t>
            </w:r>
            <w:r w:rsidRPr="00E71CC4">
              <w:rPr>
                <w:lang w:val="en-US"/>
              </w:rPr>
              <w:t>25</w:t>
            </w:r>
            <w:r w:rsidR="00216955" w:rsidRPr="00E71CC4">
              <w:t>,</w:t>
            </w:r>
            <w:r w:rsidRPr="00E71CC4">
              <w:rPr>
                <w:lang w:val="en-US"/>
              </w:rPr>
              <w:t>1</w:t>
            </w:r>
            <w:r w:rsidR="00D5611D" w:rsidRPr="00E71CC4">
              <w:rPr>
                <w:lang w:val="en-US"/>
              </w:rPr>
              <w:t xml:space="preserve">, </w:t>
            </w:r>
            <w:r w:rsidR="00D5611D" w:rsidRPr="00E71CC4">
              <w:t>p</w:t>
            </w:r>
            <w:r w:rsidR="00D5611D" w:rsidRPr="00E71CC4">
              <w:rPr>
                <w:vertAlign w:val="subscript"/>
              </w:rPr>
              <w:t>1</w:t>
            </w:r>
            <w:r w:rsidR="00D5611D" w:rsidRPr="00E71CC4">
              <w:t>&lt;0,05</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69</w:t>
            </w:r>
            <w:r w:rsidR="00216955" w:rsidRPr="00E71CC4">
              <w:t>,</w:t>
            </w:r>
            <w:r w:rsidRPr="00E71CC4">
              <w:rPr>
                <w:lang w:val="en-US"/>
              </w:rPr>
              <w:t>8</w:t>
            </w:r>
            <w:r w:rsidR="00216955" w:rsidRPr="00E71CC4">
              <w:t>±2</w:t>
            </w:r>
            <w:r w:rsidRPr="00E71CC4">
              <w:rPr>
                <w:lang w:val="en-US"/>
              </w:rPr>
              <w:t>6</w:t>
            </w:r>
            <w:r w:rsidR="00216955" w:rsidRPr="00E71CC4">
              <w:t>,</w:t>
            </w:r>
            <w:r w:rsidRPr="00E71CC4">
              <w:rPr>
                <w:lang w:val="en-US"/>
              </w:rPr>
              <w:t>0</w:t>
            </w:r>
            <w:r w:rsidR="00D5611D" w:rsidRPr="00E71CC4">
              <w:rPr>
                <w:lang w:val="en-US"/>
              </w:rPr>
              <w:t xml:space="preserve">, </w:t>
            </w:r>
            <w:r w:rsidR="00D5611D" w:rsidRPr="00E71CC4">
              <w:t>p</w:t>
            </w:r>
            <w:r w:rsidR="00D5611D" w:rsidRPr="00E71CC4">
              <w:rPr>
                <w:vertAlign w:val="subscript"/>
              </w:rPr>
              <w:t>1</w:t>
            </w:r>
            <w:r w:rsidR="00D5611D"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8</w:t>
            </w:r>
            <w:r w:rsidR="00216955" w:rsidRPr="00E71CC4">
              <w:t>6,</w:t>
            </w:r>
            <w:r w:rsidRPr="00E71CC4">
              <w:rPr>
                <w:lang w:val="en-US"/>
              </w:rPr>
              <w:t>6</w:t>
            </w:r>
            <w:r w:rsidR="00216955" w:rsidRPr="00E71CC4">
              <w:t>±</w:t>
            </w:r>
            <w:r w:rsidRPr="00E71CC4">
              <w:rPr>
                <w:lang w:val="en-US"/>
              </w:rPr>
              <w:t>27</w:t>
            </w:r>
            <w:r w:rsidR="00216955" w:rsidRPr="00E71CC4">
              <w:t>,</w:t>
            </w:r>
            <w:r w:rsidRPr="00E71CC4">
              <w:rPr>
                <w:lang w:val="en-US"/>
              </w:rPr>
              <w:t>9</w:t>
            </w:r>
            <w:r w:rsidR="00D5611D" w:rsidRPr="00E71CC4">
              <w:rPr>
                <w:lang w:val="en-US"/>
              </w:rPr>
              <w:t xml:space="preserve">, </w:t>
            </w:r>
            <w:r w:rsidR="00D5611D" w:rsidRPr="00E71CC4">
              <w:t>p</w:t>
            </w:r>
            <w:r w:rsidR="00D5611D" w:rsidRPr="00E71CC4">
              <w:rPr>
                <w:vertAlign w:val="subscript"/>
              </w:rPr>
              <w:t>1</w:t>
            </w:r>
            <w:r w:rsidR="00D5611D" w:rsidRPr="00E71CC4">
              <w:t>&lt;0,05</w:t>
            </w:r>
          </w:p>
        </w:tc>
      </w:tr>
      <w:tr w:rsidR="00216955" w:rsidRPr="00E71CC4" w:rsidTr="00130C4F">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МО, л/мин</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7,6</w:t>
            </w:r>
            <w:r w:rsidRPr="00E71CC4">
              <w:t>±</w:t>
            </w:r>
            <w:r w:rsidRPr="00E71CC4">
              <w:rPr>
                <w:lang w:val="en-US"/>
              </w:rPr>
              <w:t>2,9</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6</w:t>
            </w:r>
            <w:r w:rsidR="00216955" w:rsidRPr="00E71CC4">
              <w:t>,</w:t>
            </w:r>
            <w:r w:rsidRPr="00E71CC4">
              <w:rPr>
                <w:lang w:val="en-US"/>
              </w:rPr>
              <w:t>0</w:t>
            </w:r>
            <w:r w:rsidR="00216955" w:rsidRPr="00E71CC4">
              <w:t>±</w:t>
            </w:r>
            <w:r w:rsidRPr="00E71CC4">
              <w:rPr>
                <w:lang w:val="en-US"/>
              </w:rPr>
              <w:t>3,2</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5</w:t>
            </w:r>
            <w:r w:rsidR="00216955" w:rsidRPr="00E71CC4">
              <w:t>,</w:t>
            </w:r>
            <w:r w:rsidRPr="00E71CC4">
              <w:rPr>
                <w:lang w:val="en-US"/>
              </w:rPr>
              <w:t>7</w:t>
            </w:r>
            <w:r w:rsidR="00216955" w:rsidRPr="00E71CC4">
              <w:t>±</w:t>
            </w:r>
            <w:r w:rsidRPr="00E71CC4">
              <w:rPr>
                <w:lang w:val="en-US"/>
              </w:rPr>
              <w:t>1</w:t>
            </w:r>
            <w:r w:rsidR="00216955" w:rsidRPr="00E71CC4">
              <w:t>,</w:t>
            </w:r>
            <w:r w:rsidRPr="00E71CC4">
              <w:rPr>
                <w:lang w:val="en-US"/>
              </w:rPr>
              <w:t>9</w:t>
            </w:r>
            <w:r w:rsidR="009E59CB" w:rsidRPr="00E71CC4">
              <w:rPr>
                <w:lang w:val="en-US"/>
              </w:rPr>
              <w:t xml:space="preserve">, </w:t>
            </w:r>
            <w:r w:rsidR="009E59CB" w:rsidRPr="00E71CC4">
              <w:t>p</w:t>
            </w:r>
            <w:r w:rsidR="009E59CB" w:rsidRPr="00E71CC4">
              <w:rPr>
                <w:vertAlign w:val="subscript"/>
              </w:rPr>
              <w:t>1</w:t>
            </w:r>
            <w:r w:rsidR="009E59CB" w:rsidRPr="00E71CC4">
              <w:t>&lt;0,05</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4</w:t>
            </w:r>
            <w:r w:rsidR="00216955" w:rsidRPr="00E71CC4">
              <w:t>,9±1,</w:t>
            </w:r>
            <w:r w:rsidRPr="00E71CC4">
              <w:rPr>
                <w:lang w:val="en-US"/>
              </w:rPr>
              <w:t>5</w:t>
            </w:r>
            <w:r w:rsidR="00D5611D" w:rsidRPr="00E71CC4">
              <w:rPr>
                <w:lang w:val="en-US"/>
              </w:rPr>
              <w:t xml:space="preserve">, </w:t>
            </w:r>
            <w:r w:rsidR="00D5611D" w:rsidRPr="00E71CC4">
              <w:t>p</w:t>
            </w:r>
            <w:r w:rsidR="00D5611D" w:rsidRPr="00E71CC4">
              <w:rPr>
                <w:vertAlign w:val="subscript"/>
              </w:rPr>
              <w:t>1</w:t>
            </w:r>
            <w:r w:rsidR="00D5611D"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pPr>
            <w:r w:rsidRPr="00E71CC4">
              <w:rPr>
                <w:lang w:val="en-US"/>
              </w:rPr>
              <w:t>5</w:t>
            </w:r>
            <w:r w:rsidR="00216955" w:rsidRPr="00E71CC4">
              <w:t>,</w:t>
            </w:r>
            <w:r w:rsidRPr="00E71CC4">
              <w:rPr>
                <w:lang w:val="en-US"/>
              </w:rPr>
              <w:t>5</w:t>
            </w:r>
            <w:r w:rsidRPr="00E71CC4">
              <w:t>±1,</w:t>
            </w:r>
            <w:r w:rsidRPr="00E71CC4">
              <w:rPr>
                <w:lang w:val="en-US"/>
              </w:rPr>
              <w:t>7</w:t>
            </w:r>
            <w:r w:rsidR="00D5611D" w:rsidRPr="00E71CC4">
              <w:t>, p</w:t>
            </w:r>
            <w:r w:rsidR="00D5611D" w:rsidRPr="00E71CC4">
              <w:rPr>
                <w:vertAlign w:val="subscript"/>
              </w:rPr>
              <w:t>1</w:t>
            </w:r>
            <w:r w:rsidR="00D5611D" w:rsidRPr="00E71CC4">
              <w:t>&lt;0,05</w:t>
            </w:r>
          </w:p>
        </w:tc>
      </w:tr>
      <w:tr w:rsidR="00216955" w:rsidRPr="00E71CC4" w:rsidTr="00130C4F">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СИ, (л/мин*м</w:t>
            </w:r>
            <w:proofErr w:type="gramStart"/>
            <w:r w:rsidRPr="00E71CC4">
              <w:rPr>
                <w:vertAlign w:val="superscript"/>
              </w:rPr>
              <w:t>2</w:t>
            </w:r>
            <w:proofErr w:type="gramEnd"/>
            <w:r w:rsidRPr="00E71CC4">
              <w:t>)</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4,4</w:t>
            </w:r>
            <w:r w:rsidRPr="00E71CC4">
              <w:t>±</w:t>
            </w:r>
            <w:r w:rsidR="00216955" w:rsidRPr="00E71CC4">
              <w:t>1,</w:t>
            </w:r>
            <w:r w:rsidRPr="00E71CC4">
              <w:rPr>
                <w:lang w:val="en-US"/>
              </w:rPr>
              <w:t>9</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3</w:t>
            </w:r>
            <w:r w:rsidR="00216955" w:rsidRPr="00E71CC4">
              <w:t>,</w:t>
            </w:r>
            <w:r w:rsidRPr="00E71CC4">
              <w:rPr>
                <w:lang w:val="en-US"/>
              </w:rPr>
              <w:t>0</w:t>
            </w:r>
            <w:r w:rsidRPr="00E71CC4">
              <w:t>±</w:t>
            </w:r>
            <w:r w:rsidRPr="00E71CC4">
              <w:rPr>
                <w:lang w:val="en-US"/>
              </w:rPr>
              <w:t>1</w:t>
            </w:r>
            <w:r w:rsidR="00216955" w:rsidRPr="00E71CC4">
              <w:t>,6</w:t>
            </w:r>
            <w:r w:rsidR="009E59CB" w:rsidRPr="00E71CC4">
              <w:rPr>
                <w:lang w:val="en-US"/>
              </w:rPr>
              <w:t xml:space="preserve">, </w:t>
            </w:r>
            <w:r w:rsidR="009E59CB" w:rsidRPr="00E71CC4">
              <w:t>p</w:t>
            </w:r>
            <w:r w:rsidR="009E59CB" w:rsidRPr="00E71CC4">
              <w:rPr>
                <w:vertAlign w:val="subscript"/>
              </w:rPr>
              <w:t>1</w:t>
            </w:r>
            <w:r w:rsidR="009E59CB" w:rsidRPr="00E71CC4">
              <w:t>&lt;0,05</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2</w:t>
            </w:r>
            <w:r w:rsidR="00216955" w:rsidRPr="00E71CC4">
              <w:t>,</w:t>
            </w:r>
            <w:r w:rsidRPr="00E71CC4">
              <w:rPr>
                <w:lang w:val="en-US"/>
              </w:rPr>
              <w:t>8</w:t>
            </w:r>
            <w:r w:rsidR="00216955" w:rsidRPr="00E71CC4">
              <w:t>±</w:t>
            </w:r>
            <w:r w:rsidRPr="00E71CC4">
              <w:rPr>
                <w:lang w:val="en-US"/>
              </w:rPr>
              <w:t>1</w:t>
            </w:r>
            <w:r w:rsidR="00216955" w:rsidRPr="00E71CC4">
              <w:t>,</w:t>
            </w:r>
            <w:r w:rsidRPr="00E71CC4">
              <w:rPr>
                <w:lang w:val="en-US"/>
              </w:rPr>
              <w:t>0</w:t>
            </w:r>
            <w:r w:rsidR="009E59CB" w:rsidRPr="00E71CC4">
              <w:rPr>
                <w:lang w:val="en-US"/>
              </w:rPr>
              <w:t xml:space="preserve">, </w:t>
            </w:r>
            <w:r w:rsidR="009E59CB" w:rsidRPr="00E71CC4">
              <w:t>p</w:t>
            </w:r>
            <w:r w:rsidR="009E59CB" w:rsidRPr="00E71CC4">
              <w:rPr>
                <w:vertAlign w:val="subscript"/>
              </w:rPr>
              <w:t>1</w:t>
            </w:r>
            <w:r w:rsidR="009E59CB" w:rsidRPr="00E71CC4">
              <w:t>&lt;0,05</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rPr>
                <w:lang w:val="en-US"/>
              </w:rPr>
            </w:pPr>
            <w:r w:rsidRPr="00E71CC4">
              <w:rPr>
                <w:lang w:val="en-US"/>
              </w:rPr>
              <w:t>2</w:t>
            </w:r>
            <w:r w:rsidR="00216955" w:rsidRPr="00E71CC4">
              <w:t>,4±0,9</w:t>
            </w:r>
            <w:r w:rsidR="009E59CB" w:rsidRPr="00E71CC4">
              <w:rPr>
                <w:lang w:val="en-US"/>
              </w:rPr>
              <w:t xml:space="preserve">, </w:t>
            </w:r>
            <w:r w:rsidR="009E59CB" w:rsidRPr="00E71CC4">
              <w:t>p</w:t>
            </w:r>
            <w:r w:rsidR="009E59CB" w:rsidRPr="00E71CC4">
              <w:rPr>
                <w:vertAlign w:val="subscript"/>
              </w:rPr>
              <w:t>1</w:t>
            </w:r>
            <w:r w:rsidR="009E59CB"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7F747F" w:rsidP="00130C4F">
            <w:pPr>
              <w:spacing w:after="0" w:line="240" w:lineRule="auto"/>
            </w:pPr>
            <w:r w:rsidRPr="00E71CC4">
              <w:rPr>
                <w:lang w:val="en-US"/>
              </w:rPr>
              <w:t>2</w:t>
            </w:r>
            <w:r w:rsidR="00216955" w:rsidRPr="00E71CC4">
              <w:t>,</w:t>
            </w:r>
            <w:r w:rsidRPr="00E71CC4">
              <w:rPr>
                <w:lang w:val="en-US"/>
              </w:rPr>
              <w:t>8</w:t>
            </w:r>
            <w:r w:rsidR="00216955" w:rsidRPr="00E71CC4">
              <w:t>±0,</w:t>
            </w:r>
            <w:r w:rsidRPr="00E71CC4">
              <w:rPr>
                <w:lang w:val="en-US"/>
              </w:rPr>
              <w:t>9</w:t>
            </w:r>
            <w:r w:rsidR="009E59CB" w:rsidRPr="00E71CC4">
              <w:t>, p</w:t>
            </w:r>
            <w:r w:rsidR="009E59CB" w:rsidRPr="00E71CC4">
              <w:rPr>
                <w:vertAlign w:val="subscript"/>
              </w:rPr>
              <w:t>1</w:t>
            </w:r>
            <w:r w:rsidR="009E59CB" w:rsidRPr="00E71CC4">
              <w:t>&lt;0,05</w:t>
            </w:r>
          </w:p>
        </w:tc>
      </w:tr>
      <w:tr w:rsidR="00216955" w:rsidRPr="00E71CC4" w:rsidTr="00130C4F">
        <w:trPr>
          <w:trHeight w:val="936"/>
        </w:trPr>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jc w:val="both"/>
            </w:pPr>
            <w:r w:rsidRPr="00E71CC4">
              <w:t>ОПС, дин*с*см</w:t>
            </w:r>
            <w:r w:rsidRPr="00E71CC4">
              <w:rPr>
                <w:vertAlign w:val="superscript"/>
              </w:rPr>
              <w:t>-5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D5611D" w:rsidP="00130C4F">
            <w:pPr>
              <w:spacing w:after="0" w:line="240" w:lineRule="auto"/>
            </w:pPr>
            <w:r w:rsidRPr="00E71CC4">
              <w:rPr>
                <w:lang w:val="en-US"/>
              </w:rPr>
              <w:t>910,9 [719,8;1424,4]</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D5611D" w:rsidP="00130C4F">
            <w:pPr>
              <w:spacing w:after="0" w:line="240" w:lineRule="auto"/>
              <w:rPr>
                <w:lang w:val="en-US"/>
              </w:rPr>
            </w:pPr>
            <w:r w:rsidRPr="00E71CC4">
              <w:rPr>
                <w:lang w:val="en-US"/>
              </w:rPr>
              <w:t>1443</w:t>
            </w:r>
            <w:r w:rsidR="00216955" w:rsidRPr="00E71CC4">
              <w:t>,</w:t>
            </w:r>
            <w:r w:rsidRPr="00E71CC4">
              <w:rPr>
                <w:lang w:val="en-US"/>
              </w:rPr>
              <w:t>6</w:t>
            </w:r>
            <w:r w:rsidR="00216955" w:rsidRPr="00E71CC4">
              <w:t>[</w:t>
            </w:r>
            <w:r w:rsidRPr="00E71CC4">
              <w:rPr>
                <w:lang w:val="en-US"/>
              </w:rPr>
              <w:t>1060</w:t>
            </w:r>
            <w:r w:rsidR="00216955" w:rsidRPr="00E71CC4">
              <w:t>,</w:t>
            </w:r>
            <w:r w:rsidRPr="00E71CC4">
              <w:rPr>
                <w:lang w:val="en-US"/>
              </w:rPr>
              <w:t>8</w:t>
            </w:r>
            <w:r w:rsidR="00216955" w:rsidRPr="00E71CC4">
              <w:t xml:space="preserve">; </w:t>
            </w:r>
            <w:r w:rsidRPr="00E71CC4">
              <w:rPr>
                <w:lang w:val="en-US"/>
              </w:rPr>
              <w:t>2342</w:t>
            </w:r>
            <w:r w:rsidR="00216955" w:rsidRPr="00E71CC4">
              <w:t>,</w:t>
            </w:r>
            <w:r w:rsidRPr="00E71CC4">
              <w:rPr>
                <w:lang w:val="en-US"/>
              </w:rPr>
              <w:t>6</w:t>
            </w:r>
            <w:r w:rsidR="00216955" w:rsidRPr="00E71CC4">
              <w:t>]</w:t>
            </w:r>
            <w:r w:rsidR="00442B30" w:rsidRPr="00E71CC4">
              <w:rPr>
                <w:lang w:val="en-US"/>
              </w:rPr>
              <w:t xml:space="preserve">, </w:t>
            </w:r>
            <w:r w:rsidR="00442B30" w:rsidRPr="00E71CC4">
              <w:t>p</w:t>
            </w:r>
            <w:r w:rsidR="00442B30" w:rsidRPr="00E71CC4">
              <w:rPr>
                <w:vertAlign w:val="subscript"/>
              </w:rPr>
              <w:t>1</w:t>
            </w:r>
            <w:r w:rsidR="00442B30" w:rsidRPr="00E71CC4">
              <w:t>&lt;0,05</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D5611D" w:rsidP="00130C4F">
            <w:pPr>
              <w:spacing w:after="0" w:line="240" w:lineRule="auto"/>
              <w:rPr>
                <w:lang w:val="en-US"/>
              </w:rPr>
            </w:pPr>
            <w:r w:rsidRPr="00E71CC4">
              <w:rPr>
                <w:lang w:val="en-US"/>
              </w:rPr>
              <w:t>1660</w:t>
            </w:r>
            <w:r w:rsidR="00216955" w:rsidRPr="00E71CC4">
              <w:t>,</w:t>
            </w:r>
            <w:r w:rsidRPr="00E71CC4">
              <w:rPr>
                <w:lang w:val="en-US"/>
              </w:rPr>
              <w:t>3</w:t>
            </w:r>
            <w:r w:rsidR="007F747F" w:rsidRPr="00E71CC4">
              <w:t>±</w:t>
            </w:r>
            <w:r w:rsidRPr="00E71CC4">
              <w:rPr>
                <w:lang w:val="en-US"/>
              </w:rPr>
              <w:t>697,8</w:t>
            </w:r>
            <w:r w:rsidR="00442B30" w:rsidRPr="00E71CC4">
              <w:rPr>
                <w:lang w:val="en-US"/>
              </w:rPr>
              <w:t xml:space="preserve">, </w:t>
            </w:r>
            <w:r w:rsidR="00442B30" w:rsidRPr="00E71CC4">
              <w:t>p</w:t>
            </w:r>
            <w:r w:rsidR="00442B30" w:rsidRPr="00E71CC4">
              <w:rPr>
                <w:vertAlign w:val="subscript"/>
              </w:rPr>
              <w:t>1</w:t>
            </w:r>
            <w:r w:rsidR="00442B30" w:rsidRPr="00E71CC4">
              <w:t>&lt;0,05</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D5611D" w:rsidP="00130C4F">
            <w:pPr>
              <w:spacing w:after="0" w:line="240" w:lineRule="auto"/>
              <w:rPr>
                <w:lang w:val="en-US"/>
              </w:rPr>
            </w:pPr>
            <w:r w:rsidRPr="00E71CC4">
              <w:rPr>
                <w:lang w:val="en-US"/>
              </w:rPr>
              <w:t>1887</w:t>
            </w:r>
            <w:r w:rsidR="00216955" w:rsidRPr="00E71CC4">
              <w:t>,</w:t>
            </w:r>
            <w:r w:rsidRPr="00E71CC4">
              <w:rPr>
                <w:lang w:val="en-US"/>
              </w:rPr>
              <w:t>3</w:t>
            </w:r>
            <w:r w:rsidR="00216955" w:rsidRPr="00E71CC4">
              <w:t>±</w:t>
            </w:r>
            <w:r w:rsidRPr="00E71CC4">
              <w:rPr>
                <w:lang w:val="en-US"/>
              </w:rPr>
              <w:t>843</w:t>
            </w:r>
            <w:r w:rsidR="00216955" w:rsidRPr="00E71CC4">
              <w:t>,</w:t>
            </w:r>
            <w:r w:rsidRPr="00E71CC4">
              <w:rPr>
                <w:lang w:val="en-US"/>
              </w:rPr>
              <w:t>2</w:t>
            </w:r>
            <w:r w:rsidR="00442B30" w:rsidRPr="00E71CC4">
              <w:t>p</w:t>
            </w:r>
            <w:r w:rsidR="00442B30" w:rsidRPr="00E71CC4">
              <w:rPr>
                <w:vertAlign w:val="subscript"/>
              </w:rPr>
              <w:t>1</w:t>
            </w:r>
            <w:r w:rsidR="00442B30" w:rsidRPr="00E71CC4">
              <w:t>&lt;0,05</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1</w:t>
            </w:r>
            <w:r w:rsidR="00D5611D" w:rsidRPr="00E71CC4">
              <w:rPr>
                <w:lang w:val="en-US"/>
              </w:rPr>
              <w:t>698</w:t>
            </w:r>
            <w:r w:rsidRPr="00E71CC4">
              <w:t>,</w:t>
            </w:r>
            <w:r w:rsidR="00D5611D" w:rsidRPr="00E71CC4">
              <w:rPr>
                <w:lang w:val="en-US"/>
              </w:rPr>
              <w:t>9</w:t>
            </w:r>
            <w:r w:rsidRPr="00E71CC4">
              <w:t>±</w:t>
            </w:r>
            <w:r w:rsidR="00D5611D" w:rsidRPr="00E71CC4">
              <w:rPr>
                <w:lang w:val="en-US"/>
              </w:rPr>
              <w:t>438</w:t>
            </w:r>
            <w:r w:rsidRPr="00E71CC4">
              <w:t>,</w:t>
            </w:r>
            <w:r w:rsidR="00D5611D" w:rsidRPr="00E71CC4">
              <w:rPr>
                <w:lang w:val="en-US"/>
              </w:rPr>
              <w:t>0</w:t>
            </w:r>
            <w:r w:rsidR="00442B30" w:rsidRPr="00E71CC4">
              <w:rPr>
                <w:lang w:val="en-US"/>
              </w:rPr>
              <w:t xml:space="preserve">, </w:t>
            </w:r>
            <w:r w:rsidR="00442B30" w:rsidRPr="00E71CC4">
              <w:t>p</w:t>
            </w:r>
            <w:r w:rsidR="00442B30" w:rsidRPr="00E71CC4">
              <w:rPr>
                <w:vertAlign w:val="subscript"/>
              </w:rPr>
              <w:t>1</w:t>
            </w:r>
            <w:r w:rsidR="00442B30" w:rsidRPr="00E71CC4">
              <w:t>&lt;0,05</w:t>
            </w:r>
          </w:p>
        </w:tc>
      </w:tr>
      <w:tr w:rsidR="00216955" w:rsidRPr="00E71CC4" w:rsidTr="00130C4F">
        <w:tc>
          <w:tcPr>
            <w:tcW w:w="1951" w:type="dxa"/>
            <w:tcBorders>
              <w:top w:val="single" w:sz="4" w:space="0" w:color="000000"/>
              <w:left w:val="single" w:sz="4" w:space="0" w:color="000000"/>
              <w:bottom w:val="single" w:sz="4" w:space="0" w:color="000000"/>
              <w:right w:val="single" w:sz="4" w:space="0" w:color="000000"/>
            </w:tcBorders>
          </w:tcPr>
          <w:p w:rsidR="00216955" w:rsidRPr="00E71CC4" w:rsidRDefault="00C07873" w:rsidP="00130C4F">
            <w:pPr>
              <w:spacing w:after="0" w:line="240" w:lineRule="auto"/>
              <w:jc w:val="both"/>
            </w:pPr>
            <w:r w:rsidRPr="00E71CC4">
              <w:t xml:space="preserve">ДНЛЖ, </w:t>
            </w:r>
            <w:proofErr w:type="spellStart"/>
            <w:r w:rsidRPr="00E71CC4">
              <w:t>мм</w:t>
            </w:r>
            <w:r w:rsidR="00216955" w:rsidRPr="00E71CC4">
              <w:t>рт.ст</w:t>
            </w:r>
            <w:proofErr w:type="spellEnd"/>
            <w:r w:rsidR="00216955" w:rsidRPr="00E71CC4">
              <w:t>.</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16,</w:t>
            </w:r>
            <w:r w:rsidR="00D5611D" w:rsidRPr="00E71CC4">
              <w:rPr>
                <w:lang w:val="en-US"/>
              </w:rPr>
              <w:t>3</w:t>
            </w:r>
            <w:r w:rsidRPr="00E71CC4">
              <w:t>±1,</w:t>
            </w:r>
            <w:r w:rsidR="00D5611D" w:rsidRPr="00E71CC4">
              <w:rPr>
                <w:lang w:val="en-US"/>
              </w:rPr>
              <w:t>4</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1</w:t>
            </w:r>
            <w:r w:rsidR="00D5611D" w:rsidRPr="00E71CC4">
              <w:rPr>
                <w:lang w:val="en-US"/>
              </w:rPr>
              <w:t>7</w:t>
            </w:r>
            <w:r w:rsidRPr="00E71CC4">
              <w:t>,</w:t>
            </w:r>
            <w:r w:rsidR="00D5611D" w:rsidRPr="00E71CC4">
              <w:rPr>
                <w:lang w:val="en-US"/>
              </w:rPr>
              <w:t>8</w:t>
            </w:r>
            <w:r w:rsidR="007F747F" w:rsidRPr="00E71CC4">
              <w:t>±</w:t>
            </w:r>
            <w:r w:rsidR="00D5611D" w:rsidRPr="00E71CC4">
              <w:rPr>
                <w:lang w:val="en-US"/>
              </w:rPr>
              <w:t>3,4</w:t>
            </w:r>
          </w:p>
        </w:tc>
        <w:tc>
          <w:tcPr>
            <w:tcW w:w="1701"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1</w:t>
            </w:r>
            <w:r w:rsidR="00D5611D" w:rsidRPr="00E71CC4">
              <w:rPr>
                <w:lang w:val="en-US"/>
              </w:rPr>
              <w:t>8</w:t>
            </w:r>
            <w:r w:rsidRPr="00E71CC4">
              <w:t>,</w:t>
            </w:r>
            <w:r w:rsidR="00D5611D" w:rsidRPr="00E71CC4">
              <w:rPr>
                <w:lang w:val="en-US"/>
              </w:rPr>
              <w:t>3</w:t>
            </w:r>
            <w:r w:rsidRPr="00E71CC4">
              <w:t>±</w:t>
            </w:r>
            <w:r w:rsidR="00D5611D" w:rsidRPr="00E71CC4">
              <w:rPr>
                <w:lang w:val="en-US"/>
              </w:rPr>
              <w:t>3,1</w:t>
            </w:r>
            <w:r w:rsidR="00442B30" w:rsidRPr="00E71CC4">
              <w:rPr>
                <w:lang w:val="en-US"/>
              </w:rPr>
              <w:t xml:space="preserve">, </w:t>
            </w:r>
            <w:r w:rsidR="00442B30" w:rsidRPr="00E71CC4">
              <w:t>p</w:t>
            </w:r>
            <w:r w:rsidR="00442B30" w:rsidRPr="00E71CC4">
              <w:rPr>
                <w:vertAlign w:val="subscript"/>
              </w:rPr>
              <w:t>1</w:t>
            </w:r>
            <w:r w:rsidR="00442B30" w:rsidRPr="00E71CC4">
              <w:t>&lt;0,05</w:t>
            </w:r>
          </w:p>
        </w:tc>
        <w:tc>
          <w:tcPr>
            <w:tcW w:w="1560"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pPr>
            <w:r w:rsidRPr="00E71CC4">
              <w:t>1</w:t>
            </w:r>
            <w:r w:rsidR="00D5611D" w:rsidRPr="00E71CC4">
              <w:rPr>
                <w:lang w:val="en-US"/>
              </w:rPr>
              <w:t>6</w:t>
            </w:r>
            <w:r w:rsidRPr="00E71CC4">
              <w:t>,</w:t>
            </w:r>
            <w:r w:rsidR="00D5611D" w:rsidRPr="00E71CC4">
              <w:rPr>
                <w:lang w:val="en-US"/>
              </w:rPr>
              <w:t>7</w:t>
            </w:r>
            <w:r w:rsidR="00D5611D" w:rsidRPr="00E71CC4">
              <w:t xml:space="preserve"> [15,</w:t>
            </w:r>
            <w:r w:rsidR="00D5611D" w:rsidRPr="00E71CC4">
              <w:rPr>
                <w:lang w:val="en-US"/>
              </w:rPr>
              <w:t>3</w:t>
            </w:r>
            <w:r w:rsidRPr="00E71CC4">
              <w:t>;1</w:t>
            </w:r>
            <w:r w:rsidR="00D5611D" w:rsidRPr="00E71CC4">
              <w:rPr>
                <w:lang w:val="en-US"/>
              </w:rPr>
              <w:t>8,1</w:t>
            </w:r>
            <w:r w:rsidRPr="00E71CC4">
              <w:t>]</w:t>
            </w:r>
          </w:p>
        </w:tc>
        <w:tc>
          <w:tcPr>
            <w:tcW w:w="1559" w:type="dxa"/>
            <w:tcBorders>
              <w:top w:val="single" w:sz="4" w:space="0" w:color="000000"/>
              <w:left w:val="single" w:sz="4" w:space="0" w:color="000000"/>
              <w:bottom w:val="single" w:sz="4" w:space="0" w:color="000000"/>
              <w:right w:val="single" w:sz="4" w:space="0" w:color="000000"/>
            </w:tcBorders>
          </w:tcPr>
          <w:p w:rsidR="00216955" w:rsidRPr="00E71CC4" w:rsidRDefault="00216955" w:rsidP="00130C4F">
            <w:pPr>
              <w:spacing w:after="0" w:line="240" w:lineRule="auto"/>
              <w:rPr>
                <w:lang w:val="en-US"/>
              </w:rPr>
            </w:pPr>
            <w:r w:rsidRPr="00E71CC4">
              <w:t>16,9±</w:t>
            </w:r>
            <w:r w:rsidR="00D5611D" w:rsidRPr="00E71CC4">
              <w:rPr>
                <w:lang w:val="en-US"/>
              </w:rPr>
              <w:t>1</w:t>
            </w:r>
            <w:r w:rsidRPr="00E71CC4">
              <w:t>,</w:t>
            </w:r>
            <w:r w:rsidR="00D5611D" w:rsidRPr="00E71CC4">
              <w:rPr>
                <w:lang w:val="en-US"/>
              </w:rPr>
              <w:t>7</w:t>
            </w:r>
          </w:p>
        </w:tc>
      </w:tr>
    </w:tbl>
    <w:p w:rsidR="00130C4F" w:rsidRPr="00E71CC4" w:rsidRDefault="00130C4F" w:rsidP="00130C4F">
      <w:pPr>
        <w:spacing w:after="0" w:line="360" w:lineRule="auto"/>
        <w:jc w:val="both"/>
      </w:pPr>
    </w:p>
    <w:p w:rsidR="00130C4F" w:rsidRPr="00E71CC4" w:rsidRDefault="00130C4F" w:rsidP="00130C4F">
      <w:pPr>
        <w:spacing w:after="0" w:line="360" w:lineRule="auto"/>
        <w:jc w:val="both"/>
      </w:pPr>
      <w:r w:rsidRPr="00E71CC4">
        <w:t>Примечания:</w:t>
      </w:r>
    </w:p>
    <w:p w:rsidR="007B32CF" w:rsidRPr="00E71CC4" w:rsidRDefault="007B32CF" w:rsidP="00130C4F">
      <w:pPr>
        <w:spacing w:after="0" w:line="360" w:lineRule="auto"/>
        <w:jc w:val="both"/>
      </w:pPr>
      <w:r w:rsidRPr="00E71CC4">
        <w:rPr>
          <w:lang w:val="en-US"/>
        </w:rPr>
        <w:t>p</w:t>
      </w:r>
      <w:r w:rsidRPr="00E71CC4">
        <w:rPr>
          <w:vertAlign w:val="subscript"/>
        </w:rPr>
        <w:t>1</w:t>
      </w:r>
      <w:r w:rsidRPr="00E71CC4">
        <w:t xml:space="preserve"> – уровень различия показателей группы пациентов от группы контроля;</w:t>
      </w:r>
    </w:p>
    <w:p w:rsidR="00E71CC4" w:rsidRDefault="00E71CC4" w:rsidP="007245CF">
      <w:pPr>
        <w:spacing w:after="0" w:line="360" w:lineRule="auto"/>
        <w:jc w:val="both"/>
        <w:rPr>
          <w:noProof/>
          <w:lang w:eastAsia="ru-RU"/>
        </w:rPr>
      </w:pPr>
    </w:p>
    <w:p w:rsidR="002051D7" w:rsidRPr="00E71CC4" w:rsidRDefault="002051D7" w:rsidP="007245CF">
      <w:pPr>
        <w:spacing w:after="0" w:line="360" w:lineRule="auto"/>
        <w:jc w:val="both"/>
        <w:rPr>
          <w:noProof/>
          <w:lang w:eastAsia="ru-RU"/>
        </w:rPr>
      </w:pPr>
      <w:r w:rsidRPr="00E71CC4">
        <w:rPr>
          <w:noProof/>
          <w:lang w:eastAsia="ru-RU"/>
        </w:rPr>
        <w:t>После проведенного лечения целевых цифр АД (ниже 140/90 мм рт.ст.) достигли: 66% лиц в 1-ой группе и 33% лиц во 2-ой группе.</w:t>
      </w:r>
    </w:p>
    <w:p w:rsidR="002051D7" w:rsidRPr="00E71CC4" w:rsidRDefault="002051D7" w:rsidP="007245CF">
      <w:pPr>
        <w:spacing w:after="0" w:line="360" w:lineRule="auto"/>
        <w:jc w:val="both"/>
        <w:rPr>
          <w:noProof/>
          <w:lang w:eastAsia="ru-RU"/>
        </w:rPr>
      </w:pPr>
      <w:r w:rsidRPr="00E71CC4">
        <w:rPr>
          <w:noProof/>
          <w:lang w:eastAsia="ru-RU"/>
        </w:rPr>
        <w:t>Как следует из представленных данных в</w:t>
      </w:r>
      <w:r w:rsidR="00EC3D90" w:rsidRPr="00E71CC4">
        <w:rPr>
          <w:noProof/>
          <w:lang w:eastAsia="ru-RU"/>
        </w:rPr>
        <w:t xml:space="preserve"> таблице 3 ЭЗВД в группе лиц с АГ </w:t>
      </w:r>
      <w:r w:rsidR="003B11C0" w:rsidRPr="00E71CC4">
        <w:rPr>
          <w:noProof/>
          <w:lang w:eastAsia="ru-RU"/>
        </w:rPr>
        <w:t>(</w:t>
      </w:r>
      <w:r w:rsidR="003B11C0" w:rsidRPr="00092D8A">
        <w:rPr>
          <w:noProof/>
          <w:lang w:eastAsia="ru-RU"/>
        </w:rPr>
        <w:t>6,</w:t>
      </w:r>
      <w:r w:rsidR="00092D8A">
        <w:rPr>
          <w:noProof/>
          <w:lang w:eastAsia="ru-RU"/>
        </w:rPr>
        <w:t>5</w:t>
      </w:r>
      <w:r w:rsidR="003B11C0" w:rsidRPr="00092D8A">
        <w:rPr>
          <w:noProof/>
          <w:lang w:eastAsia="ru-RU"/>
        </w:rPr>
        <w:t>%</w:t>
      </w:r>
      <w:r w:rsidR="00356EE7" w:rsidRPr="00356EE7">
        <w:rPr>
          <w:noProof/>
          <w:lang w:eastAsia="ru-RU"/>
        </w:rPr>
        <w:t xml:space="preserve">                          </w:t>
      </w:r>
      <w:r w:rsidR="00092D8A">
        <w:rPr>
          <w:noProof/>
          <w:lang w:eastAsia="ru-RU"/>
        </w:rPr>
        <w:t>[-13</w:t>
      </w:r>
      <w:r w:rsidR="00092D8A" w:rsidRPr="00092D8A">
        <w:rPr>
          <w:noProof/>
          <w:lang w:eastAsia="ru-RU"/>
        </w:rPr>
        <w:t>,4%;25,2%]</w:t>
      </w:r>
      <w:r w:rsidR="003B11C0" w:rsidRPr="00092D8A">
        <w:rPr>
          <w:noProof/>
          <w:lang w:eastAsia="ru-RU"/>
        </w:rPr>
        <w:t>)</w:t>
      </w:r>
      <w:r w:rsidR="00092D8A">
        <w:rPr>
          <w:noProof/>
          <w:lang w:eastAsia="ru-RU"/>
        </w:rPr>
        <w:t xml:space="preserve"> </w:t>
      </w:r>
      <w:r w:rsidR="00EC3D90" w:rsidRPr="00E71CC4">
        <w:rPr>
          <w:noProof/>
          <w:lang w:eastAsia="ru-RU"/>
        </w:rPr>
        <w:t xml:space="preserve">была достоверно ниже Δdz/dt (p&lt;0,05) по сравнению </w:t>
      </w:r>
      <w:r w:rsidR="003B11C0" w:rsidRPr="00E71CC4">
        <w:rPr>
          <w:noProof/>
          <w:lang w:eastAsia="ru-RU"/>
        </w:rPr>
        <w:t xml:space="preserve">с группой здоровых лиц. </w:t>
      </w:r>
      <w:r w:rsidR="00EC3D90" w:rsidRPr="00E71CC4">
        <w:rPr>
          <w:noProof/>
          <w:lang w:eastAsia="ru-RU"/>
        </w:rPr>
        <w:t>В группе здоровых лиц ЭЗВД была сохранена в 60% случаев, признаки ДЭ I и II ст. встречались в 40% случаев</w:t>
      </w:r>
      <w:r w:rsidRPr="00E71CC4">
        <w:rPr>
          <w:noProof/>
          <w:lang w:eastAsia="ru-RU"/>
        </w:rPr>
        <w:t xml:space="preserve">, ДЭ </w:t>
      </w:r>
      <w:r w:rsidRPr="00E71CC4">
        <w:rPr>
          <w:noProof/>
          <w:lang w:val="en-US" w:eastAsia="ru-RU"/>
        </w:rPr>
        <w:t>III</w:t>
      </w:r>
      <w:r w:rsidRPr="00E71CC4">
        <w:rPr>
          <w:noProof/>
          <w:lang w:eastAsia="ru-RU"/>
        </w:rPr>
        <w:t xml:space="preserve"> ст. не вы</w:t>
      </w:r>
      <w:r w:rsidR="001074C6" w:rsidRPr="00E71CC4">
        <w:rPr>
          <w:noProof/>
          <w:lang w:eastAsia="ru-RU"/>
        </w:rPr>
        <w:t>я</w:t>
      </w:r>
      <w:r w:rsidRPr="00E71CC4">
        <w:rPr>
          <w:noProof/>
          <w:lang w:eastAsia="ru-RU"/>
        </w:rPr>
        <w:t>влена</w:t>
      </w:r>
      <w:r w:rsidR="00EC3D90" w:rsidRPr="00E71CC4">
        <w:rPr>
          <w:noProof/>
          <w:lang w:eastAsia="ru-RU"/>
        </w:rPr>
        <w:t>. В группе лиц с АГ признаки ДЭ встречались чаще</w:t>
      </w:r>
      <w:r w:rsidRPr="00E71CC4">
        <w:rPr>
          <w:noProof/>
          <w:lang w:eastAsia="ru-RU"/>
        </w:rPr>
        <w:t xml:space="preserve"> (у 55% лиц) и были более выражены</w:t>
      </w:r>
      <w:r w:rsidR="00EC3D90" w:rsidRPr="00E71CC4">
        <w:rPr>
          <w:noProof/>
          <w:lang w:eastAsia="ru-RU"/>
        </w:rPr>
        <w:t>, в частности ДЭ III ст. – в 21 % случаев.</w:t>
      </w:r>
    </w:p>
    <w:p w:rsidR="002051D7" w:rsidRPr="00ED5452" w:rsidRDefault="002051D7" w:rsidP="00ED5452">
      <w:pPr>
        <w:spacing w:line="360" w:lineRule="auto"/>
        <w:ind w:firstLine="851"/>
        <w:jc w:val="both"/>
      </w:pPr>
      <w:r w:rsidRPr="00ED5452">
        <w:rPr>
          <w:noProof/>
          <w:lang w:eastAsia="ru-RU"/>
        </w:rPr>
        <w:lastRenderedPageBreak/>
        <w:drawing>
          <wp:inline distT="0" distB="0" distL="0" distR="0">
            <wp:extent cx="5305425" cy="28575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4F32" w:rsidRPr="00BB4F32" w:rsidRDefault="002051D7" w:rsidP="007245CF">
      <w:pPr>
        <w:spacing w:after="0" w:line="240" w:lineRule="auto"/>
        <w:jc w:val="both"/>
        <w:rPr>
          <w:noProof/>
          <w:lang w:eastAsia="ru-RU"/>
        </w:rPr>
      </w:pPr>
      <w:r w:rsidRPr="00ED5452">
        <w:rPr>
          <w:noProof/>
          <w:lang w:eastAsia="ru-RU"/>
        </w:rPr>
        <w:t>Рис. 3</w:t>
      </w:r>
    </w:p>
    <w:p w:rsidR="002051D7" w:rsidRPr="007245CF" w:rsidRDefault="00A7752F" w:rsidP="007245CF">
      <w:pPr>
        <w:spacing w:after="0" w:line="240" w:lineRule="auto"/>
        <w:jc w:val="both"/>
        <w:rPr>
          <w:noProof/>
          <w:lang w:eastAsia="ru-RU"/>
        </w:rPr>
      </w:pPr>
      <w:r>
        <w:rPr>
          <w:noProof/>
          <w:lang w:eastAsia="ru-RU"/>
        </w:rPr>
        <w:t>Влияние</w:t>
      </w:r>
      <w:r w:rsidR="002051D7" w:rsidRPr="00ED5452">
        <w:rPr>
          <w:noProof/>
          <w:lang w:eastAsia="ru-RU"/>
        </w:rPr>
        <w:t xml:space="preserve"> терапии на степень дисфункции </w:t>
      </w:r>
      <w:r w:rsidR="00BB4F32">
        <w:rPr>
          <w:noProof/>
          <w:lang w:eastAsia="ru-RU"/>
        </w:rPr>
        <w:t>эндотелия</w:t>
      </w:r>
    </w:p>
    <w:p w:rsidR="00130C4F" w:rsidRPr="007245CF" w:rsidRDefault="00130C4F" w:rsidP="00130C4F">
      <w:pPr>
        <w:spacing w:after="0" w:line="240" w:lineRule="auto"/>
        <w:ind w:firstLine="708"/>
        <w:jc w:val="both"/>
        <w:rPr>
          <w:noProof/>
          <w:lang w:eastAsia="ru-RU"/>
        </w:rPr>
      </w:pPr>
    </w:p>
    <w:p w:rsidR="002051D7" w:rsidRPr="00ED5452" w:rsidRDefault="002051D7" w:rsidP="007245CF">
      <w:pPr>
        <w:spacing w:after="0" w:line="360" w:lineRule="auto"/>
        <w:jc w:val="both"/>
        <w:rPr>
          <w:noProof/>
          <w:lang w:eastAsia="ru-RU"/>
        </w:rPr>
      </w:pPr>
      <w:r w:rsidRPr="00ED5452">
        <w:rPr>
          <w:noProof/>
          <w:lang w:eastAsia="ru-RU"/>
        </w:rPr>
        <w:t xml:space="preserve">На рис. 3 представлено влияние терапии на функцию эндотелия в 1 и 2 группах. В группе 1 </w:t>
      </w:r>
      <w:r w:rsidR="00A026E5">
        <w:rPr>
          <w:noProof/>
          <w:lang w:eastAsia="ru-RU"/>
        </w:rPr>
        <w:t>Э</w:t>
      </w:r>
      <w:r w:rsidRPr="00ED5452">
        <w:rPr>
          <w:noProof/>
          <w:lang w:eastAsia="ru-RU"/>
        </w:rPr>
        <w:t>ЗВД</w:t>
      </w:r>
      <w:r w:rsidR="00A026E5">
        <w:rPr>
          <w:noProof/>
          <w:lang w:eastAsia="ru-RU"/>
        </w:rPr>
        <w:t xml:space="preserve"> в среднем достоверно не изменилась, однако доля лиц с нормальной ЭЗВД имела тенденцию к увеличению (83%), а ДЭ 2 и 3 степени уже не диагностировалась</w:t>
      </w:r>
      <w:r w:rsidRPr="00ED5452">
        <w:rPr>
          <w:noProof/>
          <w:lang w:eastAsia="ru-RU"/>
        </w:rPr>
        <w:t xml:space="preserve">. </w:t>
      </w:r>
      <w:r w:rsidR="00A026E5">
        <w:rPr>
          <w:noProof/>
          <w:lang w:eastAsia="ru-RU"/>
        </w:rPr>
        <w:t>Такое улучшение ЭЗВД вероятно обусловлено достижением целевых уровней АД в этой группе</w:t>
      </w:r>
      <w:r w:rsidR="00356EE7" w:rsidRPr="00356EE7">
        <w:rPr>
          <w:noProof/>
          <w:lang w:eastAsia="ru-RU"/>
        </w:rPr>
        <w:t xml:space="preserve"> </w:t>
      </w:r>
      <w:r w:rsidR="00A026E5">
        <w:rPr>
          <w:noProof/>
          <w:lang w:eastAsia="ru-RU"/>
        </w:rPr>
        <w:t xml:space="preserve">у </w:t>
      </w:r>
      <w:r w:rsidR="00032788">
        <w:rPr>
          <w:noProof/>
          <w:lang w:eastAsia="ru-RU"/>
        </w:rPr>
        <w:t>66% пациентов, у которых произошло</w:t>
      </w:r>
      <w:r w:rsidR="00270C80">
        <w:rPr>
          <w:noProof/>
          <w:lang w:eastAsia="ru-RU"/>
        </w:rPr>
        <w:t xml:space="preserve"> уменьш</w:t>
      </w:r>
      <w:r w:rsidR="00032788">
        <w:rPr>
          <w:noProof/>
          <w:lang w:eastAsia="ru-RU"/>
        </w:rPr>
        <w:t>ение пресорного воздействия, напряжения</w:t>
      </w:r>
      <w:r w:rsidR="00270C80">
        <w:rPr>
          <w:noProof/>
          <w:lang w:eastAsia="ru-RU"/>
        </w:rPr>
        <w:t xml:space="preserve"> сдвига на эндотелий сосудов</w:t>
      </w:r>
      <w:r w:rsidR="00032788">
        <w:rPr>
          <w:noProof/>
          <w:lang w:eastAsia="ru-RU"/>
        </w:rPr>
        <w:t>, что и</w:t>
      </w:r>
      <w:r w:rsidR="00270C80">
        <w:rPr>
          <w:noProof/>
          <w:lang w:eastAsia="ru-RU"/>
        </w:rPr>
        <w:t xml:space="preserve"> способст</w:t>
      </w:r>
      <w:r w:rsidR="00032788">
        <w:rPr>
          <w:noProof/>
          <w:lang w:eastAsia="ru-RU"/>
        </w:rPr>
        <w:t>вовало</w:t>
      </w:r>
      <w:r w:rsidR="00270C80">
        <w:rPr>
          <w:noProof/>
          <w:lang w:eastAsia="ru-RU"/>
        </w:rPr>
        <w:t xml:space="preserve"> улучшению функции </w:t>
      </w:r>
      <w:r w:rsidR="00032788">
        <w:rPr>
          <w:noProof/>
          <w:lang w:eastAsia="ru-RU"/>
        </w:rPr>
        <w:t xml:space="preserve">эндотеля. </w:t>
      </w:r>
      <w:r w:rsidRPr="00ED5452">
        <w:rPr>
          <w:noProof/>
          <w:lang w:eastAsia="ru-RU"/>
        </w:rPr>
        <w:t>В гр</w:t>
      </w:r>
      <w:r w:rsidR="001074C6">
        <w:rPr>
          <w:noProof/>
          <w:lang w:eastAsia="ru-RU"/>
        </w:rPr>
        <w:t>уппе 2</w:t>
      </w:r>
      <w:r w:rsidR="00356EE7" w:rsidRPr="00356EE7">
        <w:rPr>
          <w:noProof/>
          <w:lang w:eastAsia="ru-RU"/>
        </w:rPr>
        <w:t xml:space="preserve"> </w:t>
      </w:r>
      <w:r w:rsidR="001074C6">
        <w:rPr>
          <w:noProof/>
          <w:lang w:eastAsia="ru-RU"/>
        </w:rPr>
        <w:t xml:space="preserve">не нарушенная </w:t>
      </w:r>
      <w:r w:rsidRPr="00ED5452">
        <w:rPr>
          <w:noProof/>
          <w:lang w:eastAsia="ru-RU"/>
        </w:rPr>
        <w:t>ЭЗВД был</w:t>
      </w:r>
      <w:r w:rsidR="001074C6">
        <w:rPr>
          <w:noProof/>
          <w:lang w:eastAsia="ru-RU"/>
        </w:rPr>
        <w:t>а только в 27% случаев</w:t>
      </w:r>
      <w:r w:rsidR="00356EE7" w:rsidRPr="00356EE7">
        <w:rPr>
          <w:noProof/>
          <w:lang w:eastAsia="ru-RU"/>
        </w:rPr>
        <w:t xml:space="preserve"> </w:t>
      </w:r>
      <w:r w:rsidR="001074C6">
        <w:rPr>
          <w:noProof/>
          <w:lang w:eastAsia="ru-RU"/>
        </w:rPr>
        <w:t xml:space="preserve">(против 61% в группе 1) и </w:t>
      </w:r>
      <w:r w:rsidR="00032788">
        <w:rPr>
          <w:noProof/>
          <w:lang w:eastAsia="ru-RU"/>
        </w:rPr>
        <w:t>чаще встречалась ДЭ 3</w:t>
      </w:r>
      <w:r w:rsidR="003B6B43">
        <w:rPr>
          <w:noProof/>
          <w:lang w:eastAsia="ru-RU"/>
        </w:rPr>
        <w:t xml:space="preserve"> степени – 40%</w:t>
      </w:r>
      <w:r w:rsidR="001074C6">
        <w:rPr>
          <w:noProof/>
          <w:lang w:eastAsia="ru-RU"/>
        </w:rPr>
        <w:t xml:space="preserve"> против 5% в группе 1</w:t>
      </w:r>
      <w:r w:rsidRPr="00ED5452">
        <w:rPr>
          <w:noProof/>
          <w:lang w:eastAsia="ru-RU"/>
        </w:rPr>
        <w:t>, после проведенной терапии достоверно</w:t>
      </w:r>
      <w:r w:rsidR="00356EE7" w:rsidRPr="00356EE7">
        <w:rPr>
          <w:noProof/>
          <w:lang w:eastAsia="ru-RU"/>
        </w:rPr>
        <w:t xml:space="preserve"> </w:t>
      </w:r>
      <w:r w:rsidR="00916B5D" w:rsidRPr="00ED5452">
        <w:rPr>
          <w:noProof/>
          <w:lang w:eastAsia="ru-RU"/>
        </w:rPr>
        <w:t>(p&lt;0,05)</w:t>
      </w:r>
      <w:r w:rsidRPr="00ED5452">
        <w:rPr>
          <w:noProof/>
          <w:lang w:eastAsia="ru-RU"/>
        </w:rPr>
        <w:t xml:space="preserve"> увеличилась доля лиц с нормальной функцией эндотелия</w:t>
      </w:r>
      <w:r w:rsidR="00916B5D">
        <w:rPr>
          <w:noProof/>
          <w:lang w:eastAsia="ru-RU"/>
        </w:rPr>
        <w:t xml:space="preserve"> (с 27 до 70%)</w:t>
      </w:r>
      <w:r w:rsidRPr="00ED5452">
        <w:rPr>
          <w:noProof/>
          <w:lang w:eastAsia="ru-RU"/>
        </w:rPr>
        <w:t xml:space="preserve"> и уменьшилась доля с ДЭ 3ст</w:t>
      </w:r>
      <w:r w:rsidR="005E6E72">
        <w:rPr>
          <w:noProof/>
          <w:lang w:eastAsia="ru-RU"/>
        </w:rPr>
        <w:t>епени</w:t>
      </w:r>
      <w:r w:rsidR="00916B5D">
        <w:rPr>
          <w:noProof/>
          <w:lang w:eastAsia="ru-RU"/>
        </w:rPr>
        <w:t xml:space="preserve"> (с 40 до 10%)</w:t>
      </w:r>
      <w:r w:rsidRPr="00ED5452">
        <w:rPr>
          <w:noProof/>
          <w:lang w:eastAsia="ru-RU"/>
        </w:rPr>
        <w:t>.</w:t>
      </w:r>
      <w:r w:rsidR="00735979">
        <w:rPr>
          <w:noProof/>
          <w:lang w:eastAsia="ru-RU"/>
        </w:rPr>
        <w:t xml:space="preserve"> Достижение целевых уровней АД в этой группе было только в 33% случаев, однако более выраженный положительный эффект терапии на ЭЗВД вероятно обусловл</w:t>
      </w:r>
      <w:r w:rsidR="00CC6BA2">
        <w:rPr>
          <w:noProof/>
          <w:lang w:eastAsia="ru-RU"/>
        </w:rPr>
        <w:t>ен плейотропным действием аторв</w:t>
      </w:r>
      <w:r w:rsidR="00CC6BA2" w:rsidRPr="00CC6BA2">
        <w:rPr>
          <w:noProof/>
          <w:lang w:eastAsia="ru-RU"/>
        </w:rPr>
        <w:t>а</w:t>
      </w:r>
      <w:r w:rsidR="00735979">
        <w:rPr>
          <w:noProof/>
          <w:lang w:eastAsia="ru-RU"/>
        </w:rPr>
        <w:t>статина на эндотелий</w:t>
      </w:r>
      <w:r w:rsidR="00380AE7">
        <w:rPr>
          <w:noProof/>
          <w:lang w:eastAsia="ru-RU"/>
        </w:rPr>
        <w:t xml:space="preserve"> и улучшением липидного спектра плазмы, прежде всего путем снижения наиболее атерогенных фракций липидов.</w:t>
      </w:r>
    </w:p>
    <w:p w:rsidR="002051D7" w:rsidRPr="00ED5452" w:rsidRDefault="002051D7" w:rsidP="007245CF">
      <w:pPr>
        <w:spacing w:after="0" w:line="360" w:lineRule="auto"/>
        <w:jc w:val="both"/>
        <w:rPr>
          <w:noProof/>
          <w:lang w:eastAsia="ru-RU"/>
        </w:rPr>
      </w:pPr>
      <w:r w:rsidRPr="00ED5452">
        <w:rPr>
          <w:noProof/>
          <w:lang w:eastAsia="ru-RU"/>
        </w:rPr>
        <w:t>У больных АГ</w:t>
      </w:r>
      <w:r w:rsidR="00092D8A">
        <w:rPr>
          <w:noProof/>
          <w:lang w:eastAsia="ru-RU"/>
        </w:rPr>
        <w:t xml:space="preserve"> </w:t>
      </w:r>
      <w:r w:rsidRPr="00ED5452">
        <w:rPr>
          <w:noProof/>
          <w:lang w:eastAsia="ru-RU"/>
        </w:rPr>
        <w:t>имелись более низкие знач</w:t>
      </w:r>
      <w:r w:rsidR="00577806" w:rsidRPr="00ED5452">
        <w:rPr>
          <w:noProof/>
          <w:lang w:eastAsia="ru-RU"/>
        </w:rPr>
        <w:t>ения УО, МО, СИ и более высокое ОПС по сравнению с контрольной группой.</w:t>
      </w:r>
      <w:r w:rsidR="00356EE7" w:rsidRPr="00356EE7">
        <w:rPr>
          <w:noProof/>
          <w:lang w:eastAsia="ru-RU"/>
        </w:rPr>
        <w:t xml:space="preserve"> </w:t>
      </w:r>
      <w:r w:rsidRPr="00ED5452">
        <w:rPr>
          <w:noProof/>
          <w:lang w:eastAsia="ru-RU"/>
        </w:rPr>
        <w:t xml:space="preserve">В группе 1 после проведенного лечения к имеющимся отличиям присоединялись достоверные различия от контроля по уровню УО, МО и ДНЛЖ, что может говорить о недостаточном протективном эффекте стандартной антигипертензивной терапии на показатели ЦГД. </w:t>
      </w:r>
      <w:r w:rsidR="00577806" w:rsidRPr="00ED5452">
        <w:rPr>
          <w:noProof/>
          <w:lang w:eastAsia="ru-RU"/>
        </w:rPr>
        <w:t>У пациентов 2</w:t>
      </w:r>
      <w:r w:rsidRPr="00ED5452">
        <w:rPr>
          <w:noProof/>
          <w:lang w:eastAsia="ru-RU"/>
        </w:rPr>
        <w:t xml:space="preserve"> групп</w:t>
      </w:r>
      <w:r w:rsidR="00F01367">
        <w:rPr>
          <w:noProof/>
          <w:lang w:eastAsia="ru-RU"/>
        </w:rPr>
        <w:t>ы, получавших «Л</w:t>
      </w:r>
      <w:r w:rsidR="00577806" w:rsidRPr="00ED5452">
        <w:rPr>
          <w:noProof/>
          <w:lang w:eastAsia="ru-RU"/>
        </w:rPr>
        <w:t>ипромак</w:t>
      </w:r>
      <w:r w:rsidR="00F01367">
        <w:rPr>
          <w:noProof/>
          <w:lang w:eastAsia="ru-RU"/>
        </w:rPr>
        <w:t>-ЛФ»</w:t>
      </w:r>
      <w:r w:rsidR="00577806" w:rsidRPr="00ED5452">
        <w:rPr>
          <w:noProof/>
          <w:lang w:eastAsia="ru-RU"/>
        </w:rPr>
        <w:t xml:space="preserve">, </w:t>
      </w:r>
      <w:r w:rsidRPr="00ED5452">
        <w:rPr>
          <w:noProof/>
          <w:lang w:eastAsia="ru-RU"/>
        </w:rPr>
        <w:t xml:space="preserve">отмечаются сдвиги в сторону увеличения УО, МО и СИ, </w:t>
      </w:r>
      <w:r w:rsidR="00577806" w:rsidRPr="00ED5452">
        <w:rPr>
          <w:noProof/>
          <w:lang w:eastAsia="ru-RU"/>
        </w:rPr>
        <w:t xml:space="preserve">уменьшения ОПС, </w:t>
      </w:r>
      <w:r w:rsidRPr="00ED5452">
        <w:rPr>
          <w:noProof/>
          <w:lang w:eastAsia="ru-RU"/>
        </w:rPr>
        <w:t xml:space="preserve">что </w:t>
      </w:r>
      <w:r w:rsidR="00577806" w:rsidRPr="00ED5452">
        <w:rPr>
          <w:noProof/>
          <w:lang w:eastAsia="ru-RU"/>
        </w:rPr>
        <w:t xml:space="preserve">вероятно связано с плейотропными эффектами аторвастатина и улучшением ЭЗВД. </w:t>
      </w:r>
      <w:r w:rsidRPr="00ED5452">
        <w:rPr>
          <w:noProof/>
          <w:lang w:eastAsia="ru-RU"/>
        </w:rPr>
        <w:t xml:space="preserve">В </w:t>
      </w:r>
      <w:r w:rsidRPr="00ED5452">
        <w:rPr>
          <w:noProof/>
          <w:lang w:eastAsia="ru-RU"/>
        </w:rPr>
        <w:lastRenderedPageBreak/>
        <w:t>группе 2 имелись достоверные различия по уровню УО и МО</w:t>
      </w:r>
      <w:r w:rsidR="00F01367">
        <w:rPr>
          <w:noProof/>
          <w:lang w:eastAsia="ru-RU"/>
        </w:rPr>
        <w:t xml:space="preserve"> при сравнении с группой здоровых лиц</w:t>
      </w:r>
      <w:r w:rsidRPr="00ED5452">
        <w:rPr>
          <w:noProof/>
          <w:lang w:eastAsia="ru-RU"/>
        </w:rPr>
        <w:t>, которые сохранялись после проведенного лечения.</w:t>
      </w:r>
      <w:r w:rsidR="00F01367">
        <w:rPr>
          <w:noProof/>
          <w:lang w:eastAsia="ru-RU"/>
        </w:rPr>
        <w:t xml:space="preserve"> Группы 1 и 2 по</w:t>
      </w:r>
      <w:r w:rsidR="00577806" w:rsidRPr="00ED5452">
        <w:rPr>
          <w:noProof/>
          <w:lang w:eastAsia="ru-RU"/>
        </w:rPr>
        <w:t xml:space="preserve"> параметрам ЦГД достоверно между собой не отличались.</w:t>
      </w:r>
    </w:p>
    <w:p w:rsidR="00EC3D90" w:rsidRPr="00ED5452" w:rsidRDefault="00EC3D90" w:rsidP="007245CF">
      <w:pPr>
        <w:spacing w:line="360" w:lineRule="auto"/>
        <w:jc w:val="both"/>
      </w:pPr>
      <w:proofErr w:type="gramStart"/>
      <w:r w:rsidRPr="00ED5452">
        <w:t>Корреляционный анализ выявил сильные обратные корреляци</w:t>
      </w:r>
      <w:r w:rsidR="0051328E">
        <w:t>онные связи</w:t>
      </w:r>
      <w:r w:rsidRPr="00ED5452">
        <w:t xml:space="preserve"> в группе контроля между ОТ и УО (r=-0,84, p&lt;0,05), ОБ и УО (r=-0,84, p&lt;0,05), ОТ/ОБ и УО (r=-0,78, p&lt;0,05), что может свидетельствовать об отрицательном влиянии избыточной массы т</w:t>
      </w:r>
      <w:r w:rsidR="00577806" w:rsidRPr="00ED5452">
        <w:t xml:space="preserve">ела на </w:t>
      </w:r>
      <w:r w:rsidR="00016D46">
        <w:t>СИ</w:t>
      </w:r>
      <w:r w:rsidR="00577806" w:rsidRPr="00ED5452">
        <w:t>.</w:t>
      </w:r>
      <w:proofErr w:type="gramEnd"/>
      <w:r w:rsidR="00356EE7" w:rsidRPr="00356EE7">
        <w:t xml:space="preserve"> </w:t>
      </w:r>
      <w:r w:rsidR="00CB7774">
        <w:t>У</w:t>
      </w:r>
      <w:r w:rsidR="00577806" w:rsidRPr="00ED5452">
        <w:t xml:space="preserve"> </w:t>
      </w:r>
      <w:r w:rsidR="0051328E">
        <w:t xml:space="preserve">лиц с АГ </w:t>
      </w:r>
      <w:r w:rsidR="0051328E">
        <w:rPr>
          <w:lang w:val="en-US"/>
        </w:rPr>
        <w:t>II</w:t>
      </w:r>
      <w:r w:rsidR="0051328E">
        <w:t xml:space="preserve"> ст. </w:t>
      </w:r>
      <w:r w:rsidR="00577806" w:rsidRPr="00ED5452">
        <w:t xml:space="preserve">установлены прямые корреляционные связи между уровнем </w:t>
      </w:r>
      <w:r w:rsidR="0051328E">
        <w:t>глюкозы</w:t>
      </w:r>
      <w:r w:rsidR="00577806" w:rsidRPr="00ED5452">
        <w:t xml:space="preserve"> крови</w:t>
      </w:r>
      <w:r w:rsidR="00016D46">
        <w:t xml:space="preserve"> </w:t>
      </w:r>
      <w:r w:rsidR="00577806" w:rsidRPr="00ED5452">
        <w:t xml:space="preserve">и мочевой кислоты </w:t>
      </w:r>
      <w:r w:rsidR="00453301" w:rsidRPr="00ED5452">
        <w:t>(r=0,86, p&lt;0,05)</w:t>
      </w:r>
      <w:r w:rsidR="00577806" w:rsidRPr="00A500FD">
        <w:t>,</w:t>
      </w:r>
      <w:r w:rsidR="00577806" w:rsidRPr="00ED5452">
        <w:t xml:space="preserve"> что является одной из составляющей метаболического синдрома</w:t>
      </w:r>
      <w:r w:rsidR="00CC6BA2">
        <w:t xml:space="preserve"> </w:t>
      </w:r>
      <w:r w:rsidR="00453301" w:rsidRPr="00A500FD">
        <w:t>[</w:t>
      </w:r>
      <w:r w:rsidR="00A500FD" w:rsidRPr="00A500FD">
        <w:t>7</w:t>
      </w:r>
      <w:r w:rsidR="00453301" w:rsidRPr="00A500FD">
        <w:t>]</w:t>
      </w:r>
      <w:r w:rsidR="00577806" w:rsidRPr="00A500FD">
        <w:t>.</w:t>
      </w:r>
      <w:r w:rsidR="00356EE7" w:rsidRPr="00356EE7">
        <w:t xml:space="preserve"> </w:t>
      </w:r>
      <w:proofErr w:type="gramStart"/>
      <w:r w:rsidRPr="00ED5452">
        <w:t>В группе 2 прямые связи отмечены между ЛПНП и ОПС (r=0,86, p&lt;0,05), ТГ и ДНЛЖ (r=0,83, p&lt;0,05), а обратные, в свою очередь, выявлены между ИМТ и СИ (r=-0,78, p&lt;0,05), ОТ и МО (r=-0,76, p&lt;0,05), ЛПВП и ДНЛЖ (r=-0,90, p&lt;0,05), ЛПНП и УО (r=-0,79, p&lt;0,05), что говорит об отрицательном</w:t>
      </w:r>
      <w:proofErr w:type="gramEnd"/>
      <w:r w:rsidR="00356EE7" w:rsidRPr="00356EE7">
        <w:t xml:space="preserve"> </w:t>
      </w:r>
      <w:proofErr w:type="gramStart"/>
      <w:r w:rsidRPr="00ED5452">
        <w:t>влиянии</w:t>
      </w:r>
      <w:proofErr w:type="gramEnd"/>
      <w:r w:rsidRPr="00ED5452">
        <w:t xml:space="preserve"> избыточной массы тела </w:t>
      </w:r>
      <w:r w:rsidR="00453301" w:rsidRPr="00ED5452">
        <w:t xml:space="preserve">и дислипидемии </w:t>
      </w:r>
      <w:r w:rsidRPr="00ED5452">
        <w:t>на показатели гемодинамики.</w:t>
      </w:r>
    </w:p>
    <w:p w:rsidR="007245CF" w:rsidRDefault="00CA5B73" w:rsidP="007245CF">
      <w:pPr>
        <w:spacing w:line="360" w:lineRule="auto"/>
        <w:jc w:val="both"/>
        <w:rPr>
          <w:b/>
        </w:rPr>
      </w:pPr>
      <w:r w:rsidRPr="00ED5452">
        <w:rPr>
          <w:b/>
        </w:rPr>
        <w:t xml:space="preserve">Заключение. </w:t>
      </w:r>
    </w:p>
    <w:p w:rsidR="00994113" w:rsidRDefault="00994113" w:rsidP="007245CF">
      <w:pPr>
        <w:spacing w:line="360" w:lineRule="auto"/>
        <w:jc w:val="both"/>
      </w:pPr>
      <w:r w:rsidRPr="00ED5452">
        <w:t>Комбинация антигипертензивной терапии с ато</w:t>
      </w:r>
      <w:r w:rsidR="00453301" w:rsidRPr="00ED5452">
        <w:t>рва</w:t>
      </w:r>
      <w:r w:rsidRPr="00ED5452">
        <w:t>статином («Липромак</w:t>
      </w:r>
      <w:r w:rsidR="001F74F0">
        <w:t>-ЛФ») в дозе 20 мг/</w:t>
      </w:r>
      <w:proofErr w:type="spellStart"/>
      <w:r w:rsidR="001F74F0">
        <w:t>сут</w:t>
      </w:r>
      <w:proofErr w:type="spellEnd"/>
      <w:r w:rsidR="001F74F0">
        <w:t xml:space="preserve"> п</w:t>
      </w:r>
      <w:r w:rsidRPr="00ED5452">
        <w:t>риводит к достижению целевых уровней липидов</w:t>
      </w:r>
      <w:r w:rsidR="000A4BFB" w:rsidRPr="00ED5452">
        <w:t xml:space="preserve"> у каждого четвертого с дислипидемией при АГ уже через 3 месяца терапии. При этом происходит улучшение пуринового обмена без отрицательного влияния на углеводный обмен. Комбинированная терапия у лиц с АГ, абдоминальным ожирением и дислипидемией эффективно улучшает ЭЗВД сосудов.</w:t>
      </w:r>
    </w:p>
    <w:p w:rsidR="00992EED" w:rsidRDefault="00992EED" w:rsidP="007245CF">
      <w:pPr>
        <w:spacing w:line="360" w:lineRule="auto"/>
        <w:jc w:val="both"/>
      </w:pPr>
      <w:r w:rsidRPr="00ED5452">
        <w:t>Литература:</w:t>
      </w:r>
    </w:p>
    <w:p w:rsidR="00992EED" w:rsidRPr="00ED5452" w:rsidRDefault="00992EED" w:rsidP="004A0051">
      <w:pPr>
        <w:numPr>
          <w:ilvl w:val="0"/>
          <w:numId w:val="1"/>
        </w:numPr>
        <w:spacing w:after="0" w:line="360" w:lineRule="auto"/>
        <w:ind w:left="0" w:firstLine="851"/>
        <w:jc w:val="both"/>
      </w:pPr>
      <w:r w:rsidRPr="00ED5452">
        <w:rPr>
          <w:lang w:eastAsia="pl-PL"/>
        </w:rPr>
        <w:t xml:space="preserve">Национальные рекомендации. Артериальная гипертензия: диагностика, лечение, профилактика // А.Г. </w:t>
      </w:r>
      <w:proofErr w:type="spellStart"/>
      <w:r w:rsidRPr="00ED5452">
        <w:rPr>
          <w:spacing w:val="-1"/>
          <w:lang w:eastAsia="ru-RU"/>
        </w:rPr>
        <w:t>Мрочек</w:t>
      </w:r>
      <w:proofErr w:type="spellEnd"/>
      <w:r w:rsidRPr="00ED5452">
        <w:rPr>
          <w:spacing w:val="-1"/>
          <w:lang w:eastAsia="ru-RU"/>
        </w:rPr>
        <w:t>, Г.И. Сидоренко, В.П. Подпалов [и др.]</w:t>
      </w:r>
      <w:r w:rsidRPr="00ED5452">
        <w:rPr>
          <w:lang w:eastAsia="pl-PL"/>
        </w:rPr>
        <w:t xml:space="preserve">. - Минск, 2010. - 52 </w:t>
      </w:r>
      <w:proofErr w:type="gramStart"/>
      <w:r w:rsidRPr="00ED5452">
        <w:rPr>
          <w:lang w:eastAsia="pl-PL"/>
        </w:rPr>
        <w:t>с</w:t>
      </w:r>
      <w:proofErr w:type="gramEnd"/>
    </w:p>
    <w:p w:rsidR="00753788" w:rsidRPr="00ED5452" w:rsidRDefault="00753788" w:rsidP="004A0051">
      <w:pPr>
        <w:numPr>
          <w:ilvl w:val="0"/>
          <w:numId w:val="1"/>
        </w:numPr>
        <w:spacing w:after="0" w:line="360" w:lineRule="auto"/>
        <w:ind w:left="0" w:firstLine="851"/>
        <w:jc w:val="both"/>
      </w:pPr>
      <w:r w:rsidRPr="00ED5452">
        <w:t xml:space="preserve">Факторы риска сердечно-сосудистых заболеваний у больных артериальной гипертензией / И.Ю. Коробко [и др.] // Лечебное дело. – 2010. - №4. – С. 40-43. </w:t>
      </w:r>
    </w:p>
    <w:p w:rsidR="00753788" w:rsidRPr="00ED5452" w:rsidRDefault="00753788" w:rsidP="004A0051">
      <w:pPr>
        <w:numPr>
          <w:ilvl w:val="0"/>
          <w:numId w:val="1"/>
        </w:numPr>
        <w:spacing w:after="0" w:line="360" w:lineRule="auto"/>
        <w:ind w:left="0" w:firstLine="851"/>
        <w:jc w:val="both"/>
      </w:pPr>
      <w:proofErr w:type="spellStart"/>
      <w:r w:rsidRPr="00ED5452">
        <w:t>Митьковская</w:t>
      </w:r>
      <w:proofErr w:type="spellEnd"/>
      <w:r w:rsidRPr="00ED5452">
        <w:t xml:space="preserve">, Н.П. Сердце и метаболический риск: монография / Н.П. </w:t>
      </w:r>
      <w:proofErr w:type="spellStart"/>
      <w:r w:rsidRPr="00ED5452">
        <w:t>Митьковская</w:t>
      </w:r>
      <w:proofErr w:type="spellEnd"/>
      <w:r w:rsidRPr="00ED5452">
        <w:t xml:space="preserve">, Е.А. </w:t>
      </w:r>
      <w:proofErr w:type="spellStart"/>
      <w:r w:rsidRPr="00ED5452">
        <w:t>Григоренко</w:t>
      </w:r>
      <w:proofErr w:type="spellEnd"/>
      <w:r w:rsidRPr="00ED5452">
        <w:t>, Л.И. Данилова. – Минск: Белорус</w:t>
      </w:r>
      <w:proofErr w:type="gramStart"/>
      <w:r w:rsidRPr="00ED5452">
        <w:t>.н</w:t>
      </w:r>
      <w:proofErr w:type="gramEnd"/>
      <w:r w:rsidRPr="00ED5452">
        <w:t>аука, 2008. – 277 с.</w:t>
      </w:r>
    </w:p>
    <w:p w:rsidR="00992EED" w:rsidRPr="00ED5452" w:rsidRDefault="00992EED" w:rsidP="004A0051">
      <w:pPr>
        <w:numPr>
          <w:ilvl w:val="0"/>
          <w:numId w:val="1"/>
        </w:numPr>
        <w:spacing w:after="0" w:line="360" w:lineRule="auto"/>
        <w:ind w:left="0" w:firstLine="851"/>
        <w:jc w:val="both"/>
        <w:rPr>
          <w:lang w:val="en-US"/>
        </w:rPr>
      </w:pPr>
      <w:r w:rsidRPr="00ED5452">
        <w:rPr>
          <w:lang w:val="en-US" w:eastAsia="ru-RU"/>
        </w:rPr>
        <w:t xml:space="preserve">Guidelines for the management of arterial hypertension 2007. The Task Force for the Management of Arterial Hypertension of the European Society of Hypertension (ESH) and of the European Society of Cardiology (ESC) // </w:t>
      </w:r>
      <w:r w:rsidRPr="00ED5452">
        <w:rPr>
          <w:lang w:val="en-US"/>
        </w:rPr>
        <w:t xml:space="preserve">Giuseppe Mancia, Guy De Backer, Anna Dominiczak [et al.]. - </w:t>
      </w:r>
      <w:r w:rsidRPr="00ED5452">
        <w:rPr>
          <w:lang w:val="en-US" w:eastAsia="ru-RU"/>
        </w:rPr>
        <w:t>European Heart Journal (2007) 28, 1462–1536p</w:t>
      </w:r>
    </w:p>
    <w:p w:rsidR="00992EED" w:rsidRPr="00ED5452" w:rsidRDefault="00D35261" w:rsidP="004A0051">
      <w:pPr>
        <w:numPr>
          <w:ilvl w:val="0"/>
          <w:numId w:val="1"/>
        </w:numPr>
        <w:spacing w:after="0" w:line="360" w:lineRule="auto"/>
        <w:ind w:left="0" w:firstLine="851"/>
        <w:jc w:val="both"/>
        <w:rPr>
          <w:lang w:val="en-US"/>
        </w:rPr>
      </w:pPr>
      <w:r w:rsidRPr="00ED5452">
        <w:rPr>
          <w:lang w:val="nb-NO"/>
        </w:rPr>
        <w:lastRenderedPageBreak/>
        <w:t xml:space="preserve">Koh KK, Quon MJ, Han SH, et al. </w:t>
      </w:r>
      <w:r w:rsidRPr="00ED5452">
        <w:rPr>
          <w:lang w:val="en-US"/>
        </w:rPr>
        <w:t>Atorvastatin causes insulin resistance and increases ambient glycemia in hypercholesterolemic patients. J Am Coll Cardiol 2010;55:1209-1216.</w:t>
      </w:r>
    </w:p>
    <w:p w:rsidR="00D35261" w:rsidRPr="001F74F0" w:rsidRDefault="00D35261" w:rsidP="004A0051">
      <w:pPr>
        <w:numPr>
          <w:ilvl w:val="0"/>
          <w:numId w:val="1"/>
        </w:numPr>
        <w:spacing w:after="0" w:line="360" w:lineRule="auto"/>
        <w:ind w:left="0" w:firstLine="851"/>
        <w:jc w:val="both"/>
        <w:rPr>
          <w:lang w:val="en-US"/>
        </w:rPr>
      </w:pPr>
      <w:r w:rsidRPr="00ED5452">
        <w:rPr>
          <w:lang w:val="nb-NO"/>
        </w:rPr>
        <w:t xml:space="preserve">Sattar N, Preiss D, Murray HM, et al. </w:t>
      </w:r>
      <w:r w:rsidRPr="00ED5452">
        <w:rPr>
          <w:lang w:val="en-US"/>
        </w:rPr>
        <w:t>Statins and risk of incident diabetes: a collaborative meta-analysis of randomised statin trials.Lancet 2010;375(9716)</w:t>
      </w:r>
      <w:r w:rsidR="00753788" w:rsidRPr="00ED5452">
        <w:rPr>
          <w:lang w:val="en-US"/>
        </w:rPr>
        <w:t>:735-42.</w:t>
      </w:r>
    </w:p>
    <w:p w:rsidR="00A500FD" w:rsidRPr="00A500FD" w:rsidRDefault="00A500FD" w:rsidP="004A0051">
      <w:pPr>
        <w:numPr>
          <w:ilvl w:val="0"/>
          <w:numId w:val="1"/>
        </w:numPr>
        <w:spacing w:line="360" w:lineRule="auto"/>
        <w:ind w:left="0" w:firstLine="851"/>
      </w:pPr>
      <w:proofErr w:type="spellStart"/>
      <w:r w:rsidRPr="00A500FD">
        <w:rPr>
          <w:lang w:val="en-US"/>
        </w:rPr>
        <w:t>AlbertiKG,Eckel</w:t>
      </w:r>
      <w:proofErr w:type="spellEnd"/>
      <w:r w:rsidRPr="00A500FD">
        <w:rPr>
          <w:lang w:val="en-US"/>
        </w:rPr>
        <w:t xml:space="preserve"> RH, Grundy SM, </w:t>
      </w:r>
      <w:proofErr w:type="spellStart"/>
      <w:r w:rsidRPr="00A500FD">
        <w:rPr>
          <w:lang w:val="en-US"/>
        </w:rPr>
        <w:t>Zimmet</w:t>
      </w:r>
      <w:proofErr w:type="spellEnd"/>
      <w:r w:rsidRPr="00A500FD">
        <w:rPr>
          <w:lang w:val="en-US"/>
        </w:rPr>
        <w:t xml:space="preserve"> PZ, </w:t>
      </w:r>
      <w:proofErr w:type="spellStart"/>
      <w:r w:rsidRPr="00A500FD">
        <w:rPr>
          <w:lang w:val="en-US"/>
        </w:rPr>
        <w:t>Cleeman</w:t>
      </w:r>
      <w:proofErr w:type="spellEnd"/>
      <w:r w:rsidRPr="00A500FD">
        <w:rPr>
          <w:lang w:val="en-US"/>
        </w:rPr>
        <w:t xml:space="preserve"> JI, </w:t>
      </w:r>
      <w:proofErr w:type="spellStart"/>
      <w:r w:rsidRPr="00A500FD">
        <w:rPr>
          <w:lang w:val="en-US"/>
        </w:rPr>
        <w:t>Donato</w:t>
      </w:r>
      <w:proofErr w:type="spellEnd"/>
      <w:r w:rsidRPr="00A500FD">
        <w:rPr>
          <w:lang w:val="en-US"/>
        </w:rPr>
        <w:t xml:space="preserve"> KA,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proofErr w:type="spellStart"/>
      <w:r w:rsidRPr="00A500FD">
        <w:t>Circulation</w:t>
      </w:r>
      <w:proofErr w:type="spellEnd"/>
      <w:r w:rsidRPr="00A500FD">
        <w:t xml:space="preserve"> 2009; 120:1640–1645.</w:t>
      </w:r>
    </w:p>
    <w:sectPr w:rsidR="00A500FD" w:rsidRPr="00A500FD" w:rsidSect="00ED545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566F6"/>
    <w:multiLevelType w:val="hybridMultilevel"/>
    <w:tmpl w:val="91DAF5E2"/>
    <w:lvl w:ilvl="0" w:tplc="26DE9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53ED"/>
    <w:rsid w:val="00013248"/>
    <w:rsid w:val="00016D46"/>
    <w:rsid w:val="000171D9"/>
    <w:rsid w:val="000233F4"/>
    <w:rsid w:val="00032788"/>
    <w:rsid w:val="00032E5D"/>
    <w:rsid w:val="000478A0"/>
    <w:rsid w:val="00082704"/>
    <w:rsid w:val="00092D8A"/>
    <w:rsid w:val="00093401"/>
    <w:rsid w:val="00097BC1"/>
    <w:rsid w:val="000A4BFB"/>
    <w:rsid w:val="000A5AD1"/>
    <w:rsid w:val="000B7FAF"/>
    <w:rsid w:val="000C4611"/>
    <w:rsid w:val="000D7605"/>
    <w:rsid w:val="000E15F6"/>
    <w:rsid w:val="000F5E2E"/>
    <w:rsid w:val="00101B34"/>
    <w:rsid w:val="00103C5E"/>
    <w:rsid w:val="00104085"/>
    <w:rsid w:val="001074C6"/>
    <w:rsid w:val="00107A11"/>
    <w:rsid w:val="00111078"/>
    <w:rsid w:val="00111F82"/>
    <w:rsid w:val="00112464"/>
    <w:rsid w:val="0011610D"/>
    <w:rsid w:val="0011683D"/>
    <w:rsid w:val="00130C4F"/>
    <w:rsid w:val="00173EF4"/>
    <w:rsid w:val="00177B77"/>
    <w:rsid w:val="00180E87"/>
    <w:rsid w:val="00181388"/>
    <w:rsid w:val="00182564"/>
    <w:rsid w:val="0018689D"/>
    <w:rsid w:val="0019018E"/>
    <w:rsid w:val="001937B7"/>
    <w:rsid w:val="001A0AE8"/>
    <w:rsid w:val="001C2B49"/>
    <w:rsid w:val="001E0B33"/>
    <w:rsid w:val="001F2BDA"/>
    <w:rsid w:val="001F74F0"/>
    <w:rsid w:val="002051D7"/>
    <w:rsid w:val="00216955"/>
    <w:rsid w:val="00225DB5"/>
    <w:rsid w:val="00231702"/>
    <w:rsid w:val="00243DF3"/>
    <w:rsid w:val="0024789D"/>
    <w:rsid w:val="00251273"/>
    <w:rsid w:val="002524A7"/>
    <w:rsid w:val="00253A02"/>
    <w:rsid w:val="00253F7F"/>
    <w:rsid w:val="002700E7"/>
    <w:rsid w:val="00270C80"/>
    <w:rsid w:val="002B202D"/>
    <w:rsid w:val="002D2F34"/>
    <w:rsid w:val="002F3F9B"/>
    <w:rsid w:val="00311E3D"/>
    <w:rsid w:val="003224B9"/>
    <w:rsid w:val="00323A8B"/>
    <w:rsid w:val="00335371"/>
    <w:rsid w:val="003400B9"/>
    <w:rsid w:val="00356EE7"/>
    <w:rsid w:val="003602E0"/>
    <w:rsid w:val="00376F19"/>
    <w:rsid w:val="00380AE7"/>
    <w:rsid w:val="00391F59"/>
    <w:rsid w:val="0039451C"/>
    <w:rsid w:val="003B11C0"/>
    <w:rsid w:val="003B4C4C"/>
    <w:rsid w:val="003B5D57"/>
    <w:rsid w:val="003B6B43"/>
    <w:rsid w:val="003C54B2"/>
    <w:rsid w:val="003D025B"/>
    <w:rsid w:val="003D03DD"/>
    <w:rsid w:val="003D29FB"/>
    <w:rsid w:val="003E08E0"/>
    <w:rsid w:val="003E092F"/>
    <w:rsid w:val="003E7913"/>
    <w:rsid w:val="003F7DD5"/>
    <w:rsid w:val="00405EC6"/>
    <w:rsid w:val="00414854"/>
    <w:rsid w:val="00427414"/>
    <w:rsid w:val="00430229"/>
    <w:rsid w:val="00442B30"/>
    <w:rsid w:val="00446A52"/>
    <w:rsid w:val="00453301"/>
    <w:rsid w:val="004569EE"/>
    <w:rsid w:val="00473847"/>
    <w:rsid w:val="0047755F"/>
    <w:rsid w:val="00483B82"/>
    <w:rsid w:val="00483EFD"/>
    <w:rsid w:val="00487BA8"/>
    <w:rsid w:val="00494D8E"/>
    <w:rsid w:val="004A0051"/>
    <w:rsid w:val="004C5358"/>
    <w:rsid w:val="004D0227"/>
    <w:rsid w:val="004D3657"/>
    <w:rsid w:val="004E3EBC"/>
    <w:rsid w:val="004F58A1"/>
    <w:rsid w:val="00500441"/>
    <w:rsid w:val="005052C2"/>
    <w:rsid w:val="0051328E"/>
    <w:rsid w:val="00521092"/>
    <w:rsid w:val="00527BD3"/>
    <w:rsid w:val="005348EA"/>
    <w:rsid w:val="00535C30"/>
    <w:rsid w:val="00547678"/>
    <w:rsid w:val="00547CBC"/>
    <w:rsid w:val="00577806"/>
    <w:rsid w:val="005803EC"/>
    <w:rsid w:val="00582AB4"/>
    <w:rsid w:val="00586E6C"/>
    <w:rsid w:val="00590182"/>
    <w:rsid w:val="005924FC"/>
    <w:rsid w:val="005977F1"/>
    <w:rsid w:val="005A31BE"/>
    <w:rsid w:val="005A4342"/>
    <w:rsid w:val="005B1BB9"/>
    <w:rsid w:val="005B5FED"/>
    <w:rsid w:val="005B75B1"/>
    <w:rsid w:val="005D2232"/>
    <w:rsid w:val="005D78A6"/>
    <w:rsid w:val="005E1321"/>
    <w:rsid w:val="005E28D5"/>
    <w:rsid w:val="005E42EA"/>
    <w:rsid w:val="005E64DB"/>
    <w:rsid w:val="005E6E72"/>
    <w:rsid w:val="005F0E2C"/>
    <w:rsid w:val="006001AB"/>
    <w:rsid w:val="00603D7D"/>
    <w:rsid w:val="006061E5"/>
    <w:rsid w:val="00631011"/>
    <w:rsid w:val="00631789"/>
    <w:rsid w:val="00632AFB"/>
    <w:rsid w:val="00637100"/>
    <w:rsid w:val="00637733"/>
    <w:rsid w:val="00643137"/>
    <w:rsid w:val="0064762F"/>
    <w:rsid w:val="00664701"/>
    <w:rsid w:val="006679E7"/>
    <w:rsid w:val="0067284C"/>
    <w:rsid w:val="00674B81"/>
    <w:rsid w:val="006761E5"/>
    <w:rsid w:val="006C6B36"/>
    <w:rsid w:val="006D43F5"/>
    <w:rsid w:val="006F3FD0"/>
    <w:rsid w:val="007154AA"/>
    <w:rsid w:val="007245CF"/>
    <w:rsid w:val="00727AD6"/>
    <w:rsid w:val="00735979"/>
    <w:rsid w:val="007417F4"/>
    <w:rsid w:val="00747324"/>
    <w:rsid w:val="00747416"/>
    <w:rsid w:val="00753788"/>
    <w:rsid w:val="00755E92"/>
    <w:rsid w:val="007638E6"/>
    <w:rsid w:val="00767739"/>
    <w:rsid w:val="00783E4D"/>
    <w:rsid w:val="00784AEC"/>
    <w:rsid w:val="007A5AF4"/>
    <w:rsid w:val="007A6DAC"/>
    <w:rsid w:val="007B279D"/>
    <w:rsid w:val="007B32CF"/>
    <w:rsid w:val="007F747F"/>
    <w:rsid w:val="00837DE2"/>
    <w:rsid w:val="0087167B"/>
    <w:rsid w:val="008902DE"/>
    <w:rsid w:val="00890815"/>
    <w:rsid w:val="00892C53"/>
    <w:rsid w:val="008941B3"/>
    <w:rsid w:val="00896B78"/>
    <w:rsid w:val="008B63CD"/>
    <w:rsid w:val="008D018E"/>
    <w:rsid w:val="008D3645"/>
    <w:rsid w:val="008D687A"/>
    <w:rsid w:val="008F72BA"/>
    <w:rsid w:val="008F7D08"/>
    <w:rsid w:val="009042A1"/>
    <w:rsid w:val="0091536C"/>
    <w:rsid w:val="00916B5D"/>
    <w:rsid w:val="00934E23"/>
    <w:rsid w:val="00942CA0"/>
    <w:rsid w:val="0095246E"/>
    <w:rsid w:val="009610B4"/>
    <w:rsid w:val="009657FD"/>
    <w:rsid w:val="00987F65"/>
    <w:rsid w:val="00992EED"/>
    <w:rsid w:val="00994113"/>
    <w:rsid w:val="009B713E"/>
    <w:rsid w:val="009C40AB"/>
    <w:rsid w:val="009C4236"/>
    <w:rsid w:val="009C7854"/>
    <w:rsid w:val="009E59CB"/>
    <w:rsid w:val="009F21EE"/>
    <w:rsid w:val="00A026E5"/>
    <w:rsid w:val="00A16D09"/>
    <w:rsid w:val="00A22980"/>
    <w:rsid w:val="00A500FD"/>
    <w:rsid w:val="00A532E3"/>
    <w:rsid w:val="00A76645"/>
    <w:rsid w:val="00A7752F"/>
    <w:rsid w:val="00A85A8A"/>
    <w:rsid w:val="00A9517D"/>
    <w:rsid w:val="00A95208"/>
    <w:rsid w:val="00AB5B14"/>
    <w:rsid w:val="00AB6D89"/>
    <w:rsid w:val="00AD0C93"/>
    <w:rsid w:val="00AF2511"/>
    <w:rsid w:val="00B00006"/>
    <w:rsid w:val="00B01584"/>
    <w:rsid w:val="00B0393E"/>
    <w:rsid w:val="00B247C6"/>
    <w:rsid w:val="00B70C3D"/>
    <w:rsid w:val="00B765EC"/>
    <w:rsid w:val="00B76BBE"/>
    <w:rsid w:val="00B9389E"/>
    <w:rsid w:val="00BA1CCB"/>
    <w:rsid w:val="00BA540B"/>
    <w:rsid w:val="00BB4F32"/>
    <w:rsid w:val="00BB75AA"/>
    <w:rsid w:val="00C01B78"/>
    <w:rsid w:val="00C06B14"/>
    <w:rsid w:val="00C07873"/>
    <w:rsid w:val="00C1398A"/>
    <w:rsid w:val="00C174C0"/>
    <w:rsid w:val="00C17BB1"/>
    <w:rsid w:val="00C23542"/>
    <w:rsid w:val="00C27358"/>
    <w:rsid w:val="00C27571"/>
    <w:rsid w:val="00C67B77"/>
    <w:rsid w:val="00C7090C"/>
    <w:rsid w:val="00C85F69"/>
    <w:rsid w:val="00CA5B73"/>
    <w:rsid w:val="00CB7774"/>
    <w:rsid w:val="00CC1E01"/>
    <w:rsid w:val="00CC6BA2"/>
    <w:rsid w:val="00CD30EB"/>
    <w:rsid w:val="00CE5789"/>
    <w:rsid w:val="00CE68B0"/>
    <w:rsid w:val="00CF1A02"/>
    <w:rsid w:val="00CF4A02"/>
    <w:rsid w:val="00D15B27"/>
    <w:rsid w:val="00D21179"/>
    <w:rsid w:val="00D33989"/>
    <w:rsid w:val="00D35261"/>
    <w:rsid w:val="00D4563B"/>
    <w:rsid w:val="00D5611D"/>
    <w:rsid w:val="00D64254"/>
    <w:rsid w:val="00D70845"/>
    <w:rsid w:val="00D776B4"/>
    <w:rsid w:val="00D81220"/>
    <w:rsid w:val="00D84C6D"/>
    <w:rsid w:val="00D94FFC"/>
    <w:rsid w:val="00D96AA5"/>
    <w:rsid w:val="00D97671"/>
    <w:rsid w:val="00DA18E7"/>
    <w:rsid w:val="00DA650D"/>
    <w:rsid w:val="00DC0828"/>
    <w:rsid w:val="00DE39D2"/>
    <w:rsid w:val="00E1233E"/>
    <w:rsid w:val="00E13703"/>
    <w:rsid w:val="00E213A7"/>
    <w:rsid w:val="00E36F9B"/>
    <w:rsid w:val="00E52EFD"/>
    <w:rsid w:val="00E53137"/>
    <w:rsid w:val="00E57A59"/>
    <w:rsid w:val="00E71CC4"/>
    <w:rsid w:val="00E753ED"/>
    <w:rsid w:val="00E90BC8"/>
    <w:rsid w:val="00E9748B"/>
    <w:rsid w:val="00EC3D90"/>
    <w:rsid w:val="00EC7E63"/>
    <w:rsid w:val="00ED5452"/>
    <w:rsid w:val="00ED696F"/>
    <w:rsid w:val="00EE1F02"/>
    <w:rsid w:val="00EE40C5"/>
    <w:rsid w:val="00EE4BAB"/>
    <w:rsid w:val="00F01367"/>
    <w:rsid w:val="00F053F9"/>
    <w:rsid w:val="00F2213A"/>
    <w:rsid w:val="00F502AE"/>
    <w:rsid w:val="00F51C47"/>
    <w:rsid w:val="00F62A50"/>
    <w:rsid w:val="00F8384F"/>
    <w:rsid w:val="00FB3E6F"/>
    <w:rsid w:val="00FD65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6955"/>
    <w:pPr>
      <w:spacing w:after="200" w:line="276" w:lineRule="auto"/>
    </w:pPr>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563B"/>
    <w:pPr>
      <w:spacing w:after="0" w:line="240" w:lineRule="auto"/>
    </w:pPr>
    <w:rPr>
      <w:rFonts w:ascii="Tahoma" w:hAnsi="Tahoma" w:cs="Tahoma"/>
      <w:sz w:val="16"/>
      <w:szCs w:val="16"/>
    </w:rPr>
  </w:style>
  <w:style w:type="character" w:customStyle="1" w:styleId="a4">
    <w:name w:val="Текст выноски Знак"/>
    <w:basedOn w:val="a0"/>
    <w:link w:val="a3"/>
    <w:rsid w:val="00D4563B"/>
    <w:rPr>
      <w:rFonts w:ascii="Tahoma" w:eastAsia="Times New Roman" w:hAnsi="Tahoma" w:cs="Tahoma"/>
      <w:sz w:val="16"/>
      <w:szCs w:val="16"/>
      <w:lang w:eastAsia="en-US"/>
    </w:rPr>
  </w:style>
  <w:style w:type="character" w:customStyle="1" w:styleId="hps">
    <w:name w:val="hps"/>
    <w:basedOn w:val="a0"/>
    <w:rsid w:val="00414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46475945">
      <w:bodyDiv w:val="1"/>
      <w:marLeft w:val="0"/>
      <w:marRight w:val="0"/>
      <w:marTop w:val="0"/>
      <w:marBottom w:val="0"/>
      <w:divBdr>
        <w:top w:val="none" w:sz="0" w:space="0" w:color="auto"/>
        <w:left w:val="none" w:sz="0" w:space="0" w:color="auto"/>
        <w:bottom w:val="none" w:sz="0" w:space="0" w:color="auto"/>
        <w:right w:val="none" w:sz="0" w:space="0" w:color="auto"/>
      </w:divBdr>
      <w:divsChild>
        <w:div w:id="77138839">
          <w:marLeft w:val="0"/>
          <w:marRight w:val="0"/>
          <w:marTop w:val="0"/>
          <w:marBottom w:val="0"/>
          <w:divBdr>
            <w:top w:val="none" w:sz="0" w:space="0" w:color="auto"/>
            <w:left w:val="none" w:sz="0" w:space="0" w:color="auto"/>
            <w:bottom w:val="none" w:sz="0" w:space="0" w:color="auto"/>
            <w:right w:val="none" w:sz="0" w:space="0" w:color="auto"/>
          </w:divBdr>
        </w:div>
        <w:div w:id="471295494">
          <w:marLeft w:val="0"/>
          <w:marRight w:val="0"/>
          <w:marTop w:val="0"/>
          <w:marBottom w:val="0"/>
          <w:divBdr>
            <w:top w:val="none" w:sz="0" w:space="0" w:color="auto"/>
            <w:left w:val="none" w:sz="0" w:space="0" w:color="auto"/>
            <w:bottom w:val="none" w:sz="0" w:space="0" w:color="auto"/>
            <w:right w:val="none" w:sz="0" w:space="0" w:color="auto"/>
          </w:divBdr>
        </w:div>
        <w:div w:id="684089393">
          <w:marLeft w:val="0"/>
          <w:marRight w:val="0"/>
          <w:marTop w:val="0"/>
          <w:marBottom w:val="0"/>
          <w:divBdr>
            <w:top w:val="none" w:sz="0" w:space="0" w:color="auto"/>
            <w:left w:val="none" w:sz="0" w:space="0" w:color="auto"/>
            <w:bottom w:val="none" w:sz="0" w:space="0" w:color="auto"/>
            <w:right w:val="none" w:sz="0" w:space="0" w:color="auto"/>
          </w:divBdr>
        </w:div>
        <w:div w:id="1111784378">
          <w:marLeft w:val="0"/>
          <w:marRight w:val="0"/>
          <w:marTop w:val="0"/>
          <w:marBottom w:val="0"/>
          <w:divBdr>
            <w:top w:val="none" w:sz="0" w:space="0" w:color="auto"/>
            <w:left w:val="none" w:sz="0" w:space="0" w:color="auto"/>
            <w:bottom w:val="none" w:sz="0" w:space="0" w:color="auto"/>
            <w:right w:val="none" w:sz="0" w:space="0" w:color="auto"/>
          </w:divBdr>
        </w:div>
        <w:div w:id="1634368671">
          <w:marLeft w:val="0"/>
          <w:marRight w:val="0"/>
          <w:marTop w:val="0"/>
          <w:marBottom w:val="0"/>
          <w:divBdr>
            <w:top w:val="none" w:sz="0" w:space="0" w:color="auto"/>
            <w:left w:val="none" w:sz="0" w:space="0" w:color="auto"/>
            <w:bottom w:val="none" w:sz="0" w:space="0" w:color="auto"/>
            <w:right w:val="none" w:sz="0" w:space="0" w:color="auto"/>
          </w:divBdr>
        </w:div>
      </w:divsChild>
    </w:div>
    <w:div w:id="1234705306">
      <w:bodyDiv w:val="1"/>
      <w:marLeft w:val="0"/>
      <w:marRight w:val="0"/>
      <w:marTop w:val="0"/>
      <w:marBottom w:val="0"/>
      <w:divBdr>
        <w:top w:val="none" w:sz="0" w:space="0" w:color="auto"/>
        <w:left w:val="none" w:sz="0" w:space="0" w:color="auto"/>
        <w:bottom w:val="none" w:sz="0" w:space="0" w:color="auto"/>
        <w:right w:val="none" w:sz="0" w:space="0" w:color="auto"/>
      </w:divBdr>
      <w:divsChild>
        <w:div w:id="573197553">
          <w:marLeft w:val="0"/>
          <w:marRight w:val="0"/>
          <w:marTop w:val="0"/>
          <w:marBottom w:val="0"/>
          <w:divBdr>
            <w:top w:val="none" w:sz="0" w:space="0" w:color="auto"/>
            <w:left w:val="none" w:sz="0" w:space="0" w:color="auto"/>
            <w:bottom w:val="none" w:sz="0" w:space="0" w:color="auto"/>
            <w:right w:val="none" w:sz="0" w:space="0" w:color="auto"/>
          </w:divBdr>
        </w:div>
        <w:div w:id="798688455">
          <w:marLeft w:val="0"/>
          <w:marRight w:val="0"/>
          <w:marTop w:val="0"/>
          <w:marBottom w:val="0"/>
          <w:divBdr>
            <w:top w:val="none" w:sz="0" w:space="0" w:color="auto"/>
            <w:left w:val="none" w:sz="0" w:space="0" w:color="auto"/>
            <w:bottom w:val="none" w:sz="0" w:space="0" w:color="auto"/>
            <w:right w:val="none" w:sz="0" w:space="0" w:color="auto"/>
          </w:divBdr>
        </w:div>
        <w:div w:id="1362976732">
          <w:marLeft w:val="0"/>
          <w:marRight w:val="0"/>
          <w:marTop w:val="0"/>
          <w:marBottom w:val="0"/>
          <w:divBdr>
            <w:top w:val="none" w:sz="0" w:space="0" w:color="auto"/>
            <w:left w:val="none" w:sz="0" w:space="0" w:color="auto"/>
            <w:bottom w:val="none" w:sz="0" w:space="0" w:color="auto"/>
            <w:right w:val="none" w:sz="0" w:space="0" w:color="auto"/>
          </w:divBdr>
        </w:div>
      </w:divsChild>
    </w:div>
    <w:div w:id="1599756900">
      <w:bodyDiv w:val="1"/>
      <w:marLeft w:val="0"/>
      <w:marRight w:val="0"/>
      <w:marTop w:val="0"/>
      <w:marBottom w:val="0"/>
      <w:divBdr>
        <w:top w:val="none" w:sz="0" w:space="0" w:color="auto"/>
        <w:left w:val="none" w:sz="0" w:space="0" w:color="auto"/>
        <w:bottom w:val="none" w:sz="0" w:space="0" w:color="auto"/>
        <w:right w:val="none" w:sz="0" w:space="0" w:color="auto"/>
      </w:divBdr>
      <w:divsChild>
        <w:div w:id="723334504">
          <w:marLeft w:val="0"/>
          <w:marRight w:val="0"/>
          <w:marTop w:val="0"/>
          <w:marBottom w:val="0"/>
          <w:divBdr>
            <w:top w:val="none" w:sz="0" w:space="0" w:color="auto"/>
            <w:left w:val="none" w:sz="0" w:space="0" w:color="auto"/>
            <w:bottom w:val="none" w:sz="0" w:space="0" w:color="auto"/>
            <w:right w:val="none" w:sz="0" w:space="0" w:color="auto"/>
          </w:divBdr>
        </w:div>
        <w:div w:id="182480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oleObject" Target="file:///G:\&#1089;&#1090;&#1072;&#1090;&#1100;&#1103;\&#1044;&#1080;&#1072;&#1075;&#1088;&#1072;&#1084;&#1084;&#1099;.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view3D>
      <c:depthPercent val="100"/>
      <c:rAngAx val="1"/>
    </c:view3D>
    <c:plotArea>
      <c:layout/>
      <c:bar3DChart>
        <c:barDir val="col"/>
        <c:grouping val="clustered"/>
        <c:ser>
          <c:idx val="0"/>
          <c:order val="0"/>
          <c:tx>
            <c:strRef>
              <c:f>Лист1!$B$37</c:f>
              <c:strCache>
                <c:ptCount val="1"/>
                <c:pt idx="0">
                  <c:v>Пациенты с АГ и АО</c:v>
                </c:pt>
              </c:strCache>
            </c:strRef>
          </c:tx>
          <c:spPr>
            <a:pattFill prst="divot">
              <a:fgClr>
                <a:schemeClr val="accent1"/>
              </a:fgClr>
              <a:bgClr>
                <a:schemeClr val="bg1"/>
              </a:bgClr>
            </a:pattFill>
          </c:spPr>
          <c:cat>
            <c:strRef>
              <c:f>Лист1!$A$38:$A$41</c:f>
              <c:strCache>
                <c:ptCount val="4"/>
                <c:pt idx="0">
                  <c:v>ОХС&gt;5,0мМ/л</c:v>
                </c:pt>
                <c:pt idx="1">
                  <c:v>ЛПВП &lt; 1,0мМ/л у мужчин, &lt;1,2мМ/л у женщин</c:v>
                </c:pt>
                <c:pt idx="2">
                  <c:v>ЛПНП &gt;3,0мМ/л</c:v>
                </c:pt>
                <c:pt idx="3">
                  <c:v>ТГ &gt;1,7 мМ/л</c:v>
                </c:pt>
              </c:strCache>
            </c:strRef>
          </c:cat>
          <c:val>
            <c:numRef>
              <c:f>Лист1!$B$38:$B$41</c:f>
              <c:numCache>
                <c:formatCode>0%</c:formatCode>
                <c:ptCount val="4"/>
                <c:pt idx="0">
                  <c:v>0.84000000000000064</c:v>
                </c:pt>
                <c:pt idx="1">
                  <c:v>0.11000000000000008</c:v>
                </c:pt>
                <c:pt idx="2">
                  <c:v>0.86000000000000065</c:v>
                </c:pt>
                <c:pt idx="3">
                  <c:v>0.21000000000000021</c:v>
                </c:pt>
              </c:numCache>
            </c:numRef>
          </c:val>
        </c:ser>
        <c:ser>
          <c:idx val="1"/>
          <c:order val="1"/>
          <c:tx>
            <c:strRef>
              <c:f>Лист1!$C$37</c:f>
              <c:strCache>
                <c:ptCount val="1"/>
              </c:strCache>
            </c:strRef>
          </c:tx>
          <c:cat>
            <c:strRef>
              <c:f>Лист1!$A$38:$A$41</c:f>
              <c:strCache>
                <c:ptCount val="4"/>
                <c:pt idx="0">
                  <c:v>ОХС&gt;5,0мМ/л</c:v>
                </c:pt>
                <c:pt idx="1">
                  <c:v>ЛПВП &lt; 1,0мМ/л у мужчин, &lt;1,2мМ/л у женщин</c:v>
                </c:pt>
                <c:pt idx="2">
                  <c:v>ЛПНП &gt;3,0мМ/л</c:v>
                </c:pt>
                <c:pt idx="3">
                  <c:v>ТГ &gt;1,7 мМ/л</c:v>
                </c:pt>
              </c:strCache>
            </c:strRef>
          </c:cat>
          <c:val>
            <c:numRef>
              <c:f>Лист1!$C$38:$C$41</c:f>
              <c:numCache>
                <c:formatCode>General</c:formatCode>
                <c:ptCount val="4"/>
              </c:numCache>
            </c:numRef>
          </c:val>
        </c:ser>
        <c:dLbls>
          <c:showVal val="1"/>
        </c:dLbls>
        <c:shape val="box"/>
        <c:axId val="92933504"/>
        <c:axId val="92886144"/>
        <c:axId val="0"/>
      </c:bar3DChart>
      <c:catAx>
        <c:axId val="92933504"/>
        <c:scaling>
          <c:orientation val="minMax"/>
        </c:scaling>
        <c:axPos val="b"/>
        <c:numFmt formatCode="General" sourceLinked="1"/>
        <c:majorTickMark val="none"/>
        <c:tickLblPos val="nextTo"/>
        <c:crossAx val="92886144"/>
        <c:crosses val="autoZero"/>
        <c:auto val="1"/>
        <c:lblAlgn val="ctr"/>
        <c:lblOffset val="100"/>
      </c:catAx>
      <c:valAx>
        <c:axId val="92886144"/>
        <c:scaling>
          <c:orientation val="minMax"/>
        </c:scaling>
        <c:delete val="1"/>
        <c:axPos val="l"/>
        <c:numFmt formatCode="0%" sourceLinked="1"/>
        <c:majorTickMark val="none"/>
        <c:tickLblPos val="none"/>
        <c:crossAx val="92933504"/>
        <c:crosses val="autoZero"/>
        <c:crossBetween val="between"/>
      </c:valAx>
      <c:spPr>
        <a:noFill/>
        <a:ln w="25400">
          <a:noFill/>
        </a:ln>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Лист1!$A$21</c:f>
              <c:strCache>
                <c:ptCount val="1"/>
                <c:pt idx="0">
                  <c:v>гр. 1 до лечения</c:v>
                </c:pt>
              </c:strCache>
            </c:strRef>
          </c:tx>
          <c:spPr>
            <a:pattFill prst="ltVert">
              <a:fgClr>
                <a:schemeClr val="tx1"/>
              </a:fgClr>
              <a:bgClr>
                <a:schemeClr val="bg1"/>
              </a:bgClr>
            </a:pattFill>
          </c:spPr>
          <c:dLbls>
            <c:spPr>
              <a:noFill/>
              <a:ln w="25400">
                <a:noFill/>
              </a:ln>
            </c:spPr>
            <c:showVal val="1"/>
          </c:dLbls>
          <c:cat>
            <c:strRef>
              <c:f>Лист1!$B$20:$E$20</c:f>
              <c:strCache>
                <c:ptCount val="4"/>
                <c:pt idx="0">
                  <c:v>норма</c:v>
                </c:pt>
                <c:pt idx="1">
                  <c:v>ДЭ 1 ст.</c:v>
                </c:pt>
                <c:pt idx="2">
                  <c:v>ДЭ 2 ст.</c:v>
                </c:pt>
                <c:pt idx="3">
                  <c:v>ДЭ 3 ст.</c:v>
                </c:pt>
              </c:strCache>
            </c:strRef>
          </c:cat>
          <c:val>
            <c:numRef>
              <c:f>Лист1!$B$21:$E$21</c:f>
              <c:numCache>
                <c:formatCode>0%</c:formatCode>
                <c:ptCount val="4"/>
                <c:pt idx="0">
                  <c:v>0.61000000000000065</c:v>
                </c:pt>
                <c:pt idx="1">
                  <c:v>0.17</c:v>
                </c:pt>
                <c:pt idx="2">
                  <c:v>0.17</c:v>
                </c:pt>
                <c:pt idx="3">
                  <c:v>0.05</c:v>
                </c:pt>
              </c:numCache>
            </c:numRef>
          </c:val>
        </c:ser>
        <c:ser>
          <c:idx val="1"/>
          <c:order val="1"/>
          <c:tx>
            <c:strRef>
              <c:f>Лист1!$A$22</c:f>
              <c:strCache>
                <c:ptCount val="1"/>
                <c:pt idx="0">
                  <c:v>гр. 1 после лечения</c:v>
                </c:pt>
              </c:strCache>
            </c:strRef>
          </c:tx>
          <c:spPr>
            <a:pattFill prst="pct80">
              <a:fgClr>
                <a:schemeClr val="tx1"/>
              </a:fgClr>
              <a:bgClr>
                <a:schemeClr val="bg1"/>
              </a:bgClr>
            </a:pattFill>
          </c:spPr>
          <c:dLbls>
            <c:spPr>
              <a:noFill/>
              <a:ln w="25400">
                <a:noFill/>
              </a:ln>
            </c:spPr>
            <c:showVal val="1"/>
          </c:dLbls>
          <c:cat>
            <c:strRef>
              <c:f>Лист1!$B$20:$E$20</c:f>
              <c:strCache>
                <c:ptCount val="4"/>
                <c:pt idx="0">
                  <c:v>норма</c:v>
                </c:pt>
                <c:pt idx="1">
                  <c:v>ДЭ 1 ст.</c:v>
                </c:pt>
                <c:pt idx="2">
                  <c:v>ДЭ 2 ст.</c:v>
                </c:pt>
                <c:pt idx="3">
                  <c:v>ДЭ 3 ст.</c:v>
                </c:pt>
              </c:strCache>
            </c:strRef>
          </c:cat>
          <c:val>
            <c:numRef>
              <c:f>Лист1!$B$22:$E$22</c:f>
              <c:numCache>
                <c:formatCode>0%</c:formatCode>
                <c:ptCount val="4"/>
                <c:pt idx="0">
                  <c:v>0.83000000000000063</c:v>
                </c:pt>
                <c:pt idx="1">
                  <c:v>0.17</c:v>
                </c:pt>
                <c:pt idx="2">
                  <c:v>0</c:v>
                </c:pt>
                <c:pt idx="3">
                  <c:v>0</c:v>
                </c:pt>
              </c:numCache>
            </c:numRef>
          </c:val>
        </c:ser>
        <c:ser>
          <c:idx val="2"/>
          <c:order val="2"/>
          <c:tx>
            <c:strRef>
              <c:f>Лист1!$A$23</c:f>
              <c:strCache>
                <c:ptCount val="1"/>
                <c:pt idx="0">
                  <c:v>гр. 2 до лечения</c:v>
                </c:pt>
              </c:strCache>
            </c:strRef>
          </c:tx>
          <c:spPr>
            <a:pattFill prst="wdDnDiag">
              <a:fgClr>
                <a:schemeClr val="tx1"/>
              </a:fgClr>
              <a:bgClr>
                <a:schemeClr val="bg1"/>
              </a:bgClr>
            </a:pattFill>
          </c:spPr>
          <c:dLbls>
            <c:dLbl>
              <c:idx val="0"/>
              <c:layout>
                <c:manualLayout>
                  <c:x val="2.5000000000000001E-2"/>
                  <c:y val="0"/>
                </c:manualLayout>
              </c:layout>
              <c:showVal val="1"/>
            </c:dLbl>
            <c:spPr>
              <a:noFill/>
              <a:ln w="25400">
                <a:noFill/>
              </a:ln>
            </c:spPr>
            <c:showVal val="1"/>
          </c:dLbls>
          <c:cat>
            <c:strRef>
              <c:f>Лист1!$B$20:$E$20</c:f>
              <c:strCache>
                <c:ptCount val="4"/>
                <c:pt idx="0">
                  <c:v>норма</c:v>
                </c:pt>
                <c:pt idx="1">
                  <c:v>ДЭ 1 ст.</c:v>
                </c:pt>
                <c:pt idx="2">
                  <c:v>ДЭ 2 ст.</c:v>
                </c:pt>
                <c:pt idx="3">
                  <c:v>ДЭ 3 ст.</c:v>
                </c:pt>
              </c:strCache>
            </c:strRef>
          </c:cat>
          <c:val>
            <c:numRef>
              <c:f>Лист1!$B$23:$E$23</c:f>
              <c:numCache>
                <c:formatCode>0%</c:formatCode>
                <c:ptCount val="4"/>
                <c:pt idx="0">
                  <c:v>0.27</c:v>
                </c:pt>
                <c:pt idx="1">
                  <c:v>0.125</c:v>
                </c:pt>
                <c:pt idx="2">
                  <c:v>0.2</c:v>
                </c:pt>
                <c:pt idx="3">
                  <c:v>0.4</c:v>
                </c:pt>
              </c:numCache>
            </c:numRef>
          </c:val>
        </c:ser>
        <c:ser>
          <c:idx val="3"/>
          <c:order val="3"/>
          <c:tx>
            <c:strRef>
              <c:f>Лист1!$A$24</c:f>
              <c:strCache>
                <c:ptCount val="1"/>
                <c:pt idx="0">
                  <c:v>гр. 2 после лечения</c:v>
                </c:pt>
              </c:strCache>
            </c:strRef>
          </c:tx>
          <c:spPr>
            <a:pattFill prst="lgCheck">
              <a:fgClr>
                <a:schemeClr val="tx1"/>
              </a:fgClr>
              <a:bgClr>
                <a:schemeClr val="bg1"/>
              </a:bgClr>
            </a:pattFill>
          </c:spPr>
          <c:dLbls>
            <c:dLbl>
              <c:idx val="0"/>
              <c:tx>
                <c:rich>
                  <a:bodyPr/>
                  <a:lstStyle/>
                  <a:p>
                    <a:r>
                      <a:rPr lang="en-US"/>
                      <a:t>70%</a:t>
                    </a:r>
                    <a:r>
                      <a:rPr lang="ru-RU"/>
                      <a:t>*</a:t>
                    </a:r>
                    <a:endParaRPr lang="en-US"/>
                  </a:p>
                </c:rich>
              </c:tx>
              <c:showVal val="1"/>
            </c:dLbl>
            <c:dLbl>
              <c:idx val="3"/>
              <c:layout>
                <c:manualLayout>
                  <c:x val="2.5000000000000001E-2"/>
                  <c:y val="0"/>
                </c:manualLayout>
              </c:layout>
              <c:showVal val="1"/>
            </c:dLbl>
            <c:spPr>
              <a:noFill/>
              <a:ln w="25400">
                <a:noFill/>
              </a:ln>
            </c:spPr>
            <c:showVal val="1"/>
          </c:dLbls>
          <c:cat>
            <c:strRef>
              <c:f>Лист1!$B$20:$E$20</c:f>
              <c:strCache>
                <c:ptCount val="4"/>
                <c:pt idx="0">
                  <c:v>норма</c:v>
                </c:pt>
                <c:pt idx="1">
                  <c:v>ДЭ 1 ст.</c:v>
                </c:pt>
                <c:pt idx="2">
                  <c:v>ДЭ 2 ст.</c:v>
                </c:pt>
                <c:pt idx="3">
                  <c:v>ДЭ 3 ст.</c:v>
                </c:pt>
              </c:strCache>
            </c:strRef>
          </c:cat>
          <c:val>
            <c:numRef>
              <c:f>Лист1!$B$24:$E$24</c:f>
              <c:numCache>
                <c:formatCode>0%</c:formatCode>
                <c:ptCount val="4"/>
                <c:pt idx="0">
                  <c:v>0.70000000000000062</c:v>
                </c:pt>
                <c:pt idx="1">
                  <c:v>0.2</c:v>
                </c:pt>
                <c:pt idx="2">
                  <c:v>0</c:v>
                </c:pt>
                <c:pt idx="3">
                  <c:v>0.1</c:v>
                </c:pt>
              </c:numCache>
            </c:numRef>
          </c:val>
        </c:ser>
        <c:gapWidth val="75"/>
        <c:shape val="box"/>
        <c:axId val="94323072"/>
        <c:axId val="94324608"/>
        <c:axId val="0"/>
      </c:bar3DChart>
      <c:catAx>
        <c:axId val="94323072"/>
        <c:scaling>
          <c:orientation val="minMax"/>
        </c:scaling>
        <c:axPos val="b"/>
        <c:numFmt formatCode="General" sourceLinked="1"/>
        <c:tickLblPos val="low"/>
        <c:crossAx val="94324608"/>
        <c:crosses val="autoZero"/>
        <c:auto val="1"/>
        <c:lblAlgn val="ctr"/>
        <c:lblOffset val="100"/>
      </c:catAx>
      <c:valAx>
        <c:axId val="94324608"/>
        <c:scaling>
          <c:orientation val="minMax"/>
        </c:scaling>
        <c:axPos val="l"/>
        <c:majorGridlines>
          <c:spPr>
            <a:ln w="3175">
              <a:solidFill>
                <a:srgbClr val="000000"/>
              </a:solidFill>
              <a:prstDash val="solid"/>
            </a:ln>
          </c:spPr>
        </c:majorGridlines>
        <c:numFmt formatCode="0%" sourceLinked="1"/>
        <c:tickLblPos val="nextTo"/>
        <c:crossAx val="94323072"/>
        <c:crosses val="autoZero"/>
        <c:crossBetween val="between"/>
      </c:valAx>
      <c:spPr>
        <a:noFill/>
        <a:ln w="25400">
          <a:noFill/>
        </a:ln>
      </c:spPr>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BA24-F5B3-4715-8CB0-376106EE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2992</Words>
  <Characters>17059</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Исследование влияния Трайкора на вазомоторную функцию эндотелия у пациентов с артериальной гипертензией и ожирением</vt:lpstr>
      <vt:lpstr>Исследование влияния Трайкора на вазомоторную функцию эндотелия у пациентов с артериальной гипертензией и ожирением</vt:lpstr>
    </vt:vector>
  </TitlesOfParts>
  <Company>SamForum.ws</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влияния Трайкора на вазомоторную функцию эндотелия у пациентов с артериальной гипертензией и ожирением</dc:title>
  <dc:creator>Кирилл</dc:creator>
  <cp:lastModifiedBy>user</cp:lastModifiedBy>
  <cp:revision>2</cp:revision>
  <cp:lastPrinted>2013-12-29T19:02:00Z</cp:lastPrinted>
  <dcterms:created xsi:type="dcterms:W3CDTF">2014-01-14T09:08:00Z</dcterms:created>
  <dcterms:modified xsi:type="dcterms:W3CDTF">2014-01-14T09:08:00Z</dcterms:modified>
</cp:coreProperties>
</file>